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A6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w w:val="98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w w:val="98"/>
          <w:kern w:val="0"/>
          <w:sz w:val="36"/>
          <w:szCs w:val="36"/>
          <w:lang w:val="en-US" w:eastAsia="zh-CN" w:bidi="ar"/>
        </w:rPr>
        <w:t>晴隆县人民医院</w:t>
      </w:r>
    </w:p>
    <w:p w14:paraId="0758C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w w:val="98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w w:val="98"/>
          <w:kern w:val="0"/>
          <w:sz w:val="36"/>
          <w:szCs w:val="36"/>
          <w:lang w:val="en-US" w:eastAsia="zh-CN" w:bidi="ar"/>
        </w:rPr>
        <w:t>新院区会议室LED显示屏及配套设施采购项目</w:t>
      </w:r>
    </w:p>
    <w:p w14:paraId="6556C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w w:val="98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w w:val="98"/>
          <w:kern w:val="0"/>
          <w:sz w:val="36"/>
          <w:szCs w:val="36"/>
          <w:lang w:val="en-US" w:eastAsia="zh-CN" w:bidi="ar"/>
        </w:rPr>
        <w:t>设备设施清单及需求参数</w:t>
      </w:r>
    </w:p>
    <w:p w14:paraId="72277448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7DEF60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一、项目名称</w:t>
      </w:r>
    </w:p>
    <w:p w14:paraId="659BFC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新院区会议室LED显示屏及配套设施采购项目</w:t>
      </w:r>
    </w:p>
    <w:p w14:paraId="69C864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二、项目预算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7.5万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元</w:t>
      </w:r>
    </w:p>
    <w:p w14:paraId="165C5B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三、项目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内容</w:t>
      </w:r>
    </w:p>
    <w:bookmarkEnd w:id="0"/>
    <w:tbl>
      <w:tblPr>
        <w:tblStyle w:val="2"/>
        <w:tblW w:w="96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696"/>
        <w:gridCol w:w="725"/>
        <w:gridCol w:w="6126"/>
        <w:gridCol w:w="491"/>
        <w:gridCol w:w="579"/>
        <w:gridCol w:w="552"/>
      </w:tblGrid>
      <w:tr w14:paraId="403BB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2FD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32F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903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5B8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9AD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FAB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1AFF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32FBC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2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3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4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5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D1.86全彩显示屏  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8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室内D1.86全彩超高清LED大屏幕显示尺寸为（长×高：4.48m×1.92m=8.6㎡）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★1.像素点间距：≤1.860mm±0.05mm；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2.模组尺寸：320mm*160mm；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3.像素密度：≥288906Dots/㎡；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4.衰减率：测试条件:Ta=25±5℃，RH≤75%RH，10mA×1000HR，衰减率≤8%；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5.休眠模式功耗：显示屏黑屏不点亮时,功耗≤50W/㎡；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6.节能设计：可在软件中设置支持动态节能，降低功耗设置；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▲7.工频磁场：依据GB/T 17626.8-2006,50Hz，1A/m，测试过程中样品无异常，符合性能判据A；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▲8.抗拉力测试：以10mm/min速度拉伸试样,测试样品发生破坏时的力值，破坏力实测:5000N/㎡；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▲9.具有可防信息泄漏功能、具备防信号远程窃密技术和防电力远程窍密技术；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▲10.防呆设计：线材接插件及箱体安装部位,均带有防呆设计；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▲11.摩擦起电电压：≤100V；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12.失真效果检测：显示画面无几何畸变、扭曲、比例失调情况，无亮度、色温非线性失真；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▲13.色坐标偏差：U':±0.015，V': ±0.015；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▲14.黑屏非均匀性：≤8%；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▲15.电磁屏蔽功能：具备电磁屏蔽功能；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▲16.白平衡亮度：≥600cd/㎡；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17.灯珠高温贮存：Ta=100℃贮存500H，灯珠点亮无异常，测试结束后能正常点亮；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▲18.灯珠耐焊耐热：Tmax=260℃，回流焊2次，灯珠引脚无氧化，测试结束后焊接正常，灯珠胶体正常，能正常点亮；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▲19.显示单元漏光度：≤0.01cd/㎡；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▲20.点对点电阻A面：1x10^5～1x10^9Ω；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▲21.灯珠漏电流：反向电压VYr=10V、漏电流0.2uA；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22.以上技术参数提供由权威检测机构出具首页带有“CNAS”或“ilac-MRA”标志的检测报告，为防止供应商虚假应标，供应商在中标后签订合同时需提供检测报告复印件加盖LED显示屏生产企业公章，使用方有权查验检测报告的真实性，如发现虚假应标取消中标资格并上报采购中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▲23.为确保LED显示屏工作过程中不对其环境中的其他设备造成电磁干扰，电磁辐射满足AS/NZS CISPR 32:2015的A类电磁兼容性等级认证，提供证书复印件加盖LED显示屏生产企业公章佐证。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1C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CF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2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含屏体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电源及线材</w:t>
            </w:r>
          </w:p>
        </w:tc>
      </w:tr>
      <w:tr w14:paraId="27327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9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C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7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控制系统(接收卡）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3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灰阶高刷新；逐点色度校正；监测每一个箱体的工作状态、温度、湿度、烟雾、开关电源电压、控制风扇开关和单灯开短路；绿色节能环保：低电压、低功耗、低辐射，支持检测运行电脑的环境检测，并可以一键安装所需驱动；支持程序复制；支持温度监控.支持逐点亮色度校正； 符合欧盟 RoHs 标准；符合欧盟 CE-EMC 标准。75B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40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49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F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12口</w:t>
            </w:r>
          </w:p>
        </w:tc>
      </w:tr>
      <w:tr w14:paraId="2141E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E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E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6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视频处理器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C13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具有完备的视频输入接口，包括 2 路 CVBS，2 路 VGA，1 路 DVI，1 路 HDMI，1 路 YPbPr， 1 路选配 SDI。部分接口支持的输入分辨率最高可达 1080p@60Hz。Z6 可根据显示屏分辨率对输入图像进行逐点缩放。提供无缝的快切和淡入淡出的切换效果，以增强并呈现专业品质的演示画面；画中画的位置、大小等均可调节，可以随心所欲的控制；采用  引擎，画面稳定无闪烁、无扫描线、图像细腻、层次感好；支持 Nova 新一代逐点校正技术，校正过程快速高效； 视频输出带载能力：390万像素，支持视频格式：RGB，YCbCr4:2:2，YCbCr4:4:4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A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2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6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6口</w:t>
            </w:r>
          </w:p>
        </w:tc>
      </w:tr>
      <w:tr w14:paraId="443D7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6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F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A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控制系统软件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6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 支持多种视频格式、图片、动画、Office文件、文字、时钟、走马灯、天气、计时、温湿度、流媒体、网页、采集卡、摄像头、Rss简讯；2.丰富的媒体属性：包括透明、背景颜色、背景图片、透明度、音量、显示比例、出入场特效、特效速度、文字颜色、炫彩效果、字体、风格等；3. 页面支持一个或多个窗口；4. 支持多个窗口个数不同的页面按次数或播放时长切换播放，且切换过程平滑无黑帧；5. 可设置不同的日期和时间播放不同的节目页；6. 可实现多台异地显示屏同步播放；7. 可通过一台计算机的NovaStudio远程控制和发布播放方案到其它显示屏。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4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C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D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EC6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5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6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6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供电电缆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B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两相*6平方交联聚乙烯绝缘聚氯乙烯护套电力电缆执行标准：GB&amp;#47;T 12706.1-2008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D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3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5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38F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F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D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A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通讯电缆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F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网线：6根超五类网线，国标光纤有效通讯距离：超5类线&lt;100m（高速无中继）；需要从控制电脑架设4条超5类网线到LED显示屏中部。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F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3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4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146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2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2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E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屏体钢结构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0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LED钢结构固定框架、LED全彩专用铝合金边框等（方通、角钢、、镀锌管、等）屏体钢架制作。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6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㎡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C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E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高2.03m*宽4.59m</w:t>
            </w:r>
          </w:p>
        </w:tc>
      </w:tr>
      <w:tr w14:paraId="0BF31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6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B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F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5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到达安装现场运输费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3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A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F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3AD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5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8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舞台灯光系统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2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全彩帕灯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9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光源：18颗6W LED（4in1）；电源：90V-250V/50-60HZ；总功率：150W；光源寿命：6-10万小时；LED角度：25°；控制方式：自动/声控/ DMX/主从；DMX通道：8； N.W.：3.5KGS；包装：6pcs/carton；尺寸：810*540*400mm。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3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5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2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DA5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4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4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E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灯控台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9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可控制12/24台16通道电脑灯，可存储场景12/24个，程序12个，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程序最大步数为20/40步，程序总步数240/480步，总通道240个，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调光通道48个，可分控、点控、集控。LCD液晶显示屏，16*2字符。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电压：AC200-240V, 51HZ。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B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0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C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C71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9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5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4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辅助材料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5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大灯钩、保险绳、信号连接头、信号连接线。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7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8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6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1B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6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4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7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9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专业会议音箱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49E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★1.一个高效率高音驱动器安装于一个可以90度旋转的高强度玻璃钢号角上，号角的指向性为水平80度，垂直50度。为满足此项要求需提供：“一种具有广角扩散功能的音响”新型专利证书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2、频率响应：60Hz-19kHz±3dB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3、灵敏度： 101dB/1W/1M@±2dB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4、额定功率：200W/8Ω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5、峰值功率： 400W/8Ω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6、高音单元： 1"x1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7、低音单元 ：8"x1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8、声压级：106dB Continuous 112dB Peak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9、箱体材料：15mm/BB级中纤板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10、指向性：80X50(Deg)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11、尺寸：250x418x264(mm)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★12.所投产品需提供国家高新技术企业证书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★13.所投产品需提供中国节能环保产品认证证书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★14.所投产品需提供ISO14001:2015环境管理体系认证证书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★15.所投产品需提供OHSAS18001:2007职业健康安全管理体系认证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★16.所投产品需提供ISO9001:2015质量管理体系认证证书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F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F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A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981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3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B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7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合并式蓝牙功放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6EB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★■崭新LED大屏幕显示，让控制清楚简单。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★■内置USB_MP3及4.0蓝牙播放器。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■强劲高效大功率环形变压器。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■专业20位数字回声电路，使歌声更加丰富和自然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8Ω立体声 2x150W 4Ω立体声 2x250W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总谐波失真     ≤0.1%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频率响应       20Hz-20KHz(±3dB)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信噪比         &gt;85dB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输入信号强度比 音乐 180mV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使用电压 AC220V 50-60Hz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        低频:100Hz 高频:18kHz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话筒        低频:100Hz 高频:16kHz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总谐波失真 &lt;0.2%(正常工作条件下)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互调失真 &lt;0.5%(正常工作条件下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★所投产品需提供国家高新技术企业证书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★所投产品需提供国家强制3C认证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★所投产品需提供中国节能环保产品认证证书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★所投产品需提供ISO14001:2015环境管理体系认证证书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★所投产品需提供OHSAS18001:2007职业健康安全管理体系认证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★所投产品需提供ISO9001:2015质量管理体系认证证书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★所投产品需提供国家省级或以上电子检测机构出具的检测报告，检测机构须通过“MA”、“CNAS”、“ilac-MRA”认证资格并加盖章印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0D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DE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6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305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9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0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数字反馈抑制器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BC1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1、96KHz采样频率，32-bit DSP处理器，24-bit A/D及D/A转换；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2、数字信号输入输出通道提供coaxial，AES及光纤接口；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3、每通道24个led灯可显示啸叫点数量；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4、可切换工作模式为直通或反馈抑制；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5、可一键清除找到的啸叫点；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6、单机可存储30组用户程序；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7、采用LCD显示屏显示功能设定144*32，提供6段led显示输出电平；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8、每通道提供压缩、限幅、噪声门、功能设置；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9、可任意编辑固定和动态反馈点数量。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★所投产品需提供国家高新技术企业证书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★所投产品需提供中国节能环保产品认证证书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★所投产品需提供ISO14001:2015环境管理体系认证证书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★所投产品需提供OHSAS18001:2007职业健康安全管理体系认证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★所投产品需提供ISO9001:2015质量管理体系认证证书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★所投产品需提供国家省级或以上电子检测机构出具的检测报告，检测机构须通过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5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D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6F1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7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9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1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固U一拖四无线会议式话筒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055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Autospacing="0"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★具备国家权威实验室出具的检测报告，检测报告带权威CNAS,CMA标识。 并且可提供现场扫码查验，以及发证机构官网查询截图,以辨真伪。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★具备中国节能环保产品证书、中国绿色环保产品证书，并在中国质量认证中心平台可查。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频率范围：600-900MHz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调制方式：宽带FM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频率稳定度：+0.005%以内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动态范围：100dB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最大频偏：+45KHz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音频响应：80Hz—15KHz（+3dB）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综合音噪比：&gt;50dB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中频频率：第一中频：110MHz    第二中频：10.7MHz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无线接口：BNC/50Ω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灵敏度调节范围：12-32dB μ 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杂散抑制：≥75dB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最大输出电平：+10dB 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 工作频率:600-900MHz 采用微电脑CPU控制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 PLL锁相环频率合成技术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 采用进口无声语音开关,高灵敏度电容式拾音头保证了话筒音质的清晰度；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 特有音频/射频电平显示,电池电压显示红外线对频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 频率稳定度：±0.002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 拾音头增益调整旋钮:-20dB至+35dB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 FM 最大调制频率偏：±45KHz RF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 射频输出功率：高10mW / 低5mW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 高次谐波：低于主波基准60dB以上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 使用电池：2节AA电池-可连续使用约8小时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射频传输频率范围： 600-900 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工作范围： 在典型条件下30米，室外直线距离时80米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580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B48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1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3E3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9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0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辅助材料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EF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1、机柜，12U*1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2、RVV2*1.5无氧铜线，100芯，100米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3、音频线，一分二3米，1条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4、音响支架，906,2付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5、卡笼线，1.5米，1条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6、专用安装辅材，一批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1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5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1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3267C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项目要求</w:t>
      </w:r>
    </w:p>
    <w:p w14:paraId="054F46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80" w:leftChars="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1、质保期：本项目质保期为三年，若三年内有任何质量问题，均免费更换所需配件。</w:t>
      </w:r>
    </w:p>
    <w:p w14:paraId="7A2DB4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80" w:leftChars="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2、质保期内，提供不限次数的技术上门服务；如遇重要会议，提供7*24小时不限时段的现场服务保障。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C779A2"/>
    <w:multiLevelType w:val="singleLevel"/>
    <w:tmpl w:val="3BC779A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GEwYTg1YzMxNmE1YmIyNWYzMGU1ZjJmYzBjNmIifQ=="/>
  </w:docVars>
  <w:rsids>
    <w:rsidRoot w:val="22DA169B"/>
    <w:rsid w:val="008E2A0E"/>
    <w:rsid w:val="04D76D6A"/>
    <w:rsid w:val="1A4858D6"/>
    <w:rsid w:val="1C757B64"/>
    <w:rsid w:val="2D070F7F"/>
    <w:rsid w:val="3A562527"/>
    <w:rsid w:val="3DAA728A"/>
    <w:rsid w:val="46CE2DF7"/>
    <w:rsid w:val="5E5F08B1"/>
    <w:rsid w:val="690A194F"/>
    <w:rsid w:val="778C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3339</Words>
  <Characters>4341</Characters>
  <Lines>0</Lines>
  <Paragraphs>0</Paragraphs>
  <TotalTime>45</TotalTime>
  <ScaleCrop>false</ScaleCrop>
  <LinksUpToDate>false</LinksUpToDate>
  <CharactersWithSpaces>4487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2024-06-04T01:05:00Z</dcterms:created>
  <dc:creator>风云</dc:creator>
  <cp:lastModifiedBy>保持沉默</cp:lastModifiedBy>
  <dcterms:modified xsi:type="dcterms:W3CDTF">2024-10-23T03:30:46Z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9EF5BECC9678466AAE6703363C469EFB_13</vt:lpwstr>
  </property>
</Properties>
</file>