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28451845"/>
      <w:bookmarkStart w:id="1" w:name="_Toc143421653"/>
      <w:bookmarkStart w:id="2" w:name="_Toc140045840"/>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QLXRMYY-ZC-(202</w:t>
      </w:r>
      <w:r>
        <w:rPr>
          <w:rFonts w:hint="eastAsia" w:ascii="宋体" w:hAnsi="宋体" w:cs="宋体"/>
          <w:b/>
          <w:bCs/>
          <w:sz w:val="38"/>
          <w:szCs w:val="38"/>
          <w:lang w:val="en-US" w:eastAsia="zh-CN"/>
        </w:rPr>
        <w:t>2</w:t>
      </w:r>
      <w:r>
        <w:rPr>
          <w:rFonts w:hint="eastAsia" w:ascii="宋体" w:hAnsi="宋体" w:eastAsia="宋体" w:cs="宋体"/>
          <w:b/>
          <w:bCs/>
          <w:sz w:val="38"/>
          <w:szCs w:val="38"/>
          <w:lang w:val="en-US" w:eastAsia="zh-CN"/>
        </w:rPr>
        <w:t>)-</w:t>
      </w:r>
      <w:r>
        <w:rPr>
          <w:rFonts w:hint="eastAsia" w:ascii="宋体" w:hAnsi="宋体" w:cs="宋体"/>
          <w:b/>
          <w:bCs/>
          <w:sz w:val="38"/>
          <w:szCs w:val="38"/>
          <w:lang w:val="en-US" w:eastAsia="zh-CN"/>
        </w:rPr>
        <w:t>01</w:t>
      </w:r>
    </w:p>
    <w:p>
      <w:pPr>
        <w:ind w:left="3052" w:hanging="3052" w:hangingChars="800"/>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cs="宋体"/>
          <w:b/>
          <w:bCs/>
          <w:sz w:val="38"/>
          <w:szCs w:val="38"/>
          <w:lang w:val="en-US" w:eastAsia="zh-CN"/>
        </w:rPr>
        <w:t>办公用打印设备</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cs="宋体"/>
          <w:b/>
          <w:sz w:val="32"/>
          <w:szCs w:val="32"/>
          <w:lang w:val="en-US" w:eastAsia="zh-CN"/>
        </w:rPr>
        <w:t>2</w:t>
      </w:r>
      <w:r>
        <w:rPr>
          <w:rFonts w:hint="eastAsia" w:ascii="宋体" w:hAnsi="宋体" w:eastAsia="宋体" w:cs="宋体"/>
          <w:b/>
          <w:sz w:val="32"/>
          <w:szCs w:val="32"/>
        </w:rPr>
        <w:t>年</w:t>
      </w:r>
      <w:r>
        <w:rPr>
          <w:rFonts w:hint="eastAsia" w:ascii="宋体" w:hAnsi="宋体" w:cs="宋体"/>
          <w:b/>
          <w:sz w:val="32"/>
          <w:szCs w:val="32"/>
          <w:lang w:val="en-US" w:eastAsia="zh-CN"/>
        </w:rPr>
        <w:t>03</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default" w:ascii="宋体" w:hAnsi="宋体" w:eastAsia="宋体" w:cs="宋体"/>
          <w:bCs/>
          <w:sz w:val="36"/>
          <w:szCs w:val="36"/>
          <w:lang w:val="en-US" w:eastAsia="zh-CN"/>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w:t>
      </w:r>
      <w:r>
        <w:rPr>
          <w:rFonts w:hint="eastAsia" w:ascii="宋体" w:hAnsi="宋体" w:cs="宋体"/>
          <w:bCs/>
          <w:sz w:val="36"/>
          <w:szCs w:val="36"/>
          <w:lang w:eastAsia="zh-CN"/>
        </w:rPr>
        <w:t>（</w:t>
      </w:r>
      <w:r>
        <w:rPr>
          <w:rFonts w:hint="eastAsia" w:ascii="宋体" w:hAnsi="宋体" w:cs="宋体"/>
          <w:bCs/>
          <w:sz w:val="36"/>
          <w:szCs w:val="36"/>
          <w:lang w:val="en-US" w:eastAsia="zh-CN"/>
        </w:rPr>
        <w:t>标项）</w:t>
      </w:r>
      <w:r>
        <w:rPr>
          <w:rFonts w:hint="eastAsia" w:ascii="宋体" w:hAnsi="宋体" w:eastAsia="宋体" w:cs="宋体"/>
          <w:bCs/>
          <w:sz w:val="36"/>
          <w:szCs w:val="36"/>
        </w:rPr>
        <w:t>投标的单位，投标文件应按子包号</w:t>
      </w:r>
      <w:r>
        <w:rPr>
          <w:rFonts w:hint="eastAsia" w:ascii="宋体" w:hAnsi="宋体" w:cs="宋体"/>
          <w:bCs/>
          <w:sz w:val="36"/>
          <w:szCs w:val="36"/>
          <w:lang w:eastAsia="zh-CN"/>
        </w:rPr>
        <w:t>（</w:t>
      </w:r>
      <w:r>
        <w:rPr>
          <w:rFonts w:hint="eastAsia" w:ascii="宋体" w:hAnsi="宋体" w:cs="宋体"/>
          <w:bCs/>
          <w:sz w:val="36"/>
          <w:szCs w:val="36"/>
          <w:lang w:val="en-US" w:eastAsia="zh-CN"/>
        </w:rPr>
        <w:t>表项号）</w:t>
      </w:r>
      <w:r>
        <w:rPr>
          <w:rFonts w:hint="eastAsia" w:ascii="宋体" w:hAnsi="宋体" w:eastAsia="宋体" w:cs="宋体"/>
          <w:bCs/>
          <w:sz w:val="36"/>
          <w:szCs w:val="36"/>
        </w:rPr>
        <w:t>分别编制、装订和包封</w:t>
      </w:r>
      <w:r>
        <w:rPr>
          <w:rFonts w:hint="eastAsia" w:ascii="宋体" w:hAnsi="宋体" w:cs="宋体"/>
          <w:bCs/>
          <w:sz w:val="36"/>
          <w:szCs w:val="36"/>
          <w:lang w:eastAsia="zh-CN"/>
        </w:rPr>
        <w:t>。</w:t>
      </w:r>
      <w:r>
        <w:rPr>
          <w:rFonts w:hint="eastAsia" w:ascii="宋体" w:hAnsi="宋体" w:cs="宋体"/>
          <w:bCs/>
          <w:sz w:val="36"/>
          <w:szCs w:val="36"/>
          <w:lang w:val="en-US" w:eastAsia="zh-CN"/>
        </w:rPr>
        <w:t>本次采购将对项目名称，项目编号严格审核，请按要求书写</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p>
      <w:pPr>
        <w:pStyle w:val="5"/>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 xml:space="preserve">第一章  </w:t>
      </w:r>
      <w:bookmarkStart w:id="31" w:name="_GoBack"/>
      <w:r>
        <w:rPr>
          <w:rFonts w:hint="eastAsia" w:ascii="宋体" w:hAnsi="宋体" w:eastAsia="宋体" w:cs="宋体"/>
          <w:b/>
          <w:bCs/>
          <w:sz w:val="32"/>
          <w:szCs w:val="32"/>
        </w:rPr>
        <w:t>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cs="宋体"/>
          <w:kern w:val="58"/>
          <w:lang w:val="en-US" w:eastAsia="zh-CN"/>
        </w:rPr>
        <w:t>2</w:t>
      </w:r>
      <w:r>
        <w:rPr>
          <w:rFonts w:hint="eastAsia" w:ascii="宋体" w:hAnsi="宋体" w:eastAsia="宋体" w:cs="宋体"/>
          <w:kern w:val="58"/>
        </w:rPr>
        <w:t>年</w:t>
      </w:r>
      <w:r>
        <w:rPr>
          <w:rFonts w:hint="eastAsia" w:ascii="宋体" w:hAnsi="宋体" w:cs="宋体"/>
          <w:kern w:val="58"/>
          <w:lang w:val="en-US" w:eastAsia="zh-CN"/>
        </w:rPr>
        <w:t>03</w:t>
      </w:r>
      <w:r>
        <w:rPr>
          <w:rFonts w:hint="eastAsia" w:ascii="宋体" w:hAnsi="宋体" w:eastAsia="宋体" w:cs="宋体"/>
          <w:kern w:val="58"/>
        </w:rPr>
        <w:t>月</w:t>
      </w:r>
      <w:r>
        <w:rPr>
          <w:rFonts w:hint="eastAsia" w:ascii="宋体" w:hAnsi="宋体" w:cs="宋体"/>
          <w:kern w:val="58"/>
          <w:lang w:val="en-US" w:eastAsia="zh-CN"/>
        </w:rPr>
        <w:t>21</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w:t>
      </w:r>
      <w:r>
        <w:rPr>
          <w:rFonts w:hint="eastAsia" w:ascii="宋体" w:hAnsi="宋体" w:cs="宋体"/>
          <w:szCs w:val="21"/>
          <w:lang w:val="en-US" w:eastAsia="zh-CN"/>
        </w:rPr>
        <w:t>院内议标</w:t>
      </w:r>
      <w:r>
        <w:rPr>
          <w:rFonts w:hint="eastAsia" w:ascii="宋体" w:hAnsi="宋体" w:eastAsia="宋体" w:cs="宋体"/>
          <w:szCs w:val="21"/>
        </w:rPr>
        <w:t>，欢迎符合要求的供应商前来投标。</w:t>
      </w:r>
    </w:p>
    <w:p>
      <w:pPr>
        <w:numPr>
          <w:ilvl w:val="0"/>
          <w:numId w:val="0"/>
        </w:numPr>
        <w:spacing w:line="440" w:lineRule="exact"/>
        <w:rPr>
          <w:rFonts w:hint="default" w:ascii="宋体" w:hAnsi="宋体" w:eastAsia="宋体" w:cs="宋体"/>
          <w:szCs w:val="21"/>
          <w:lang w:val="en-US" w:eastAsia="zh-CN"/>
        </w:rPr>
      </w:pPr>
      <w:r>
        <w:rPr>
          <w:rFonts w:hint="eastAsia" w:ascii="宋体" w:hAnsi="宋体" w:cs="宋体"/>
          <w:b/>
          <w:szCs w:val="21"/>
          <w:lang w:val="en-US" w:eastAsia="zh-CN"/>
        </w:rPr>
        <w:t>一、</w:t>
      </w:r>
      <w:r>
        <w:rPr>
          <w:rFonts w:hint="eastAsia" w:ascii="宋体" w:hAnsi="宋体" w:eastAsia="宋体" w:cs="宋体"/>
          <w:b/>
          <w:szCs w:val="21"/>
        </w:rPr>
        <w:t>采购编号：</w:t>
      </w:r>
      <w:r>
        <w:rPr>
          <w:rFonts w:hint="eastAsia" w:ascii="宋体" w:hAnsi="宋体" w:eastAsia="宋体" w:cs="宋体"/>
          <w:szCs w:val="21"/>
          <w:lang w:val="en-US" w:eastAsia="zh-CN"/>
        </w:rPr>
        <w:t>QLXRMYY-ZC-(202</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01</w:t>
      </w:r>
    </w:p>
    <w:p>
      <w:pPr>
        <w:numPr>
          <w:ilvl w:val="0"/>
          <w:numId w:val="0"/>
        </w:numPr>
        <w:spacing w:line="440" w:lineRule="exact"/>
        <w:rPr>
          <w:rFonts w:hint="eastAsia" w:ascii="宋体" w:hAnsi="宋体" w:eastAsia="宋体" w:cs="宋体"/>
          <w:szCs w:val="21"/>
        </w:rPr>
      </w:pPr>
      <w:r>
        <w:rPr>
          <w:rFonts w:hint="eastAsia" w:ascii="宋体" w:hAnsi="宋体" w:cs="宋体"/>
          <w:b/>
          <w:szCs w:val="21"/>
          <w:lang w:val="en-US" w:eastAsia="zh-CN"/>
        </w:rPr>
        <w:t>二、</w:t>
      </w:r>
      <w:r>
        <w:rPr>
          <w:rFonts w:hint="eastAsia" w:ascii="宋体" w:hAnsi="宋体" w:eastAsia="宋体" w:cs="宋体"/>
          <w:b/>
          <w:szCs w:val="21"/>
        </w:rPr>
        <w:t>项目名称：</w:t>
      </w:r>
      <w:r>
        <w:rPr>
          <w:rFonts w:hint="eastAsia" w:ascii="宋体" w:hAnsi="宋体" w:eastAsia="宋体" w:cs="宋体"/>
          <w:b/>
          <w:szCs w:val="21"/>
          <w:lang w:val="en-US" w:eastAsia="zh-CN"/>
        </w:rPr>
        <w:t xml:space="preserve"> 晴隆县人民医院</w:t>
      </w:r>
      <w:r>
        <w:rPr>
          <w:rFonts w:hint="eastAsia" w:ascii="宋体" w:hAnsi="宋体" w:cs="宋体"/>
          <w:b/>
          <w:szCs w:val="21"/>
          <w:lang w:val="en-US" w:eastAsia="zh-CN"/>
        </w:rPr>
        <w:t>办公用打印设备</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cs="宋体"/>
          <w:b/>
          <w:szCs w:val="21"/>
          <w:lang w:val="en-US" w:eastAsia="zh-CN"/>
        </w:rPr>
        <w:t>三、</w:t>
      </w:r>
      <w:r>
        <w:rPr>
          <w:rFonts w:hint="eastAsia" w:ascii="宋体" w:hAnsi="宋体" w:eastAsia="宋体" w:cs="宋体"/>
          <w:b/>
          <w:szCs w:val="21"/>
        </w:rPr>
        <w:t>采购组织类型：院内议标、询价</w:t>
      </w:r>
    </w:p>
    <w:p>
      <w:pPr>
        <w:spacing w:line="440" w:lineRule="exact"/>
        <w:rPr>
          <w:rFonts w:hint="eastAsia" w:ascii="宋体" w:hAnsi="宋体" w:eastAsia="宋体" w:cs="宋体"/>
          <w:kern w:val="10"/>
          <w:szCs w:val="21"/>
        </w:rPr>
      </w:pPr>
      <w:r>
        <w:rPr>
          <w:rFonts w:hint="eastAsia" w:ascii="宋体" w:hAnsi="宋体" w:cs="宋体"/>
          <w:b/>
          <w:kern w:val="10"/>
          <w:szCs w:val="21"/>
          <w:lang w:val="en-US" w:eastAsia="zh-CN"/>
        </w:rPr>
        <w:t>四、</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11"/>
        <w:tblpPr w:leftFromText="180" w:rightFromText="180" w:vertAnchor="text" w:horzAnchor="page" w:tblpX="1792" w:tblpY="418"/>
        <w:tblOverlap w:val="never"/>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b/>
                <w:color w:val="000000"/>
                <w:sz w:val="22"/>
                <w:szCs w:val="22"/>
                <w:lang w:val="en-US" w:eastAsia="zh-CN"/>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ascii="Helvetica" w:hAnsi="Helvetica" w:eastAsia="Helvetica" w:cs="Helvetica"/>
                <w:b/>
                <w:bCs/>
                <w:i w:val="0"/>
                <w:iCs w:val="0"/>
                <w:caps w:val="0"/>
                <w:color w:val="262626"/>
                <w:spacing w:val="0"/>
                <w:sz w:val="19"/>
                <w:szCs w:val="19"/>
                <w:shd w:val="clear" w:fill="FFFFFF"/>
              </w:rPr>
              <w:t>柯尼卡美能达KONICA MINOLTA bizhub C7130i A3彩色数码复合机多功能(双面输稿器+双纸盒+工作台)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3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960000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院办、医务科</w:t>
            </w:r>
          </w:p>
        </w:tc>
      </w:tr>
      <w:tr>
        <w:tblPrEx>
          <w:tblCellMar>
            <w:top w:w="0" w:type="dxa"/>
            <w:left w:w="0" w:type="dxa"/>
            <w:bottom w:w="0" w:type="dxa"/>
            <w:right w:w="0" w:type="dxa"/>
          </w:tblCellMar>
        </w:tblPrEx>
        <w:trPr>
          <w:trHeight w:val="40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ascii="Helvetica" w:hAnsi="Helvetica" w:eastAsia="Helvetica" w:cs="Helvetica"/>
                <w:b/>
                <w:bCs/>
                <w:i w:val="0"/>
                <w:iCs w:val="0"/>
                <w:caps w:val="0"/>
                <w:color w:val="262626"/>
                <w:spacing w:val="0"/>
                <w:sz w:val="19"/>
                <w:szCs w:val="19"/>
                <w:shd w:val="clear" w:fill="FFFFFF"/>
              </w:rPr>
              <w:t>KONICA MINOLTA 柯尼卡美能达 bizhub c7222（标配双纸盒+主机+双面输稿器+原装工作台）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财务科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cs="宋体"/>
          <w:bCs/>
          <w:szCs w:val="21"/>
          <w:lang w:eastAsia="zh-CN"/>
        </w:rPr>
        <w:t>，</w:t>
      </w:r>
      <w:r>
        <w:rPr>
          <w:rFonts w:hint="eastAsia" w:ascii="宋体" w:hAnsi="宋体" w:cs="宋体"/>
          <w:bCs/>
          <w:szCs w:val="21"/>
          <w:lang w:val="en-US" w:eastAsia="zh-CN"/>
        </w:rPr>
        <w:t>各供应商针对以上项目可选择一个或多个标项进行投标，各标项不存在共同包含关系，须</w:t>
      </w:r>
      <w:r>
        <w:rPr>
          <w:rFonts w:hint="default" w:ascii="宋体" w:hAnsi="宋体" w:cs="宋体"/>
          <w:bCs/>
          <w:szCs w:val="21"/>
          <w:lang w:eastAsia="zh-CN"/>
        </w:rPr>
        <w:t>分别提供投标文件</w:t>
      </w:r>
      <w:r>
        <w:rPr>
          <w:rFonts w:hint="eastAsia" w:ascii="宋体" w:hAnsi="宋体" w:eastAsia="宋体" w:cs="宋体"/>
          <w:bCs/>
          <w:szCs w:val="21"/>
        </w:rPr>
        <w:t>。</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rPr>
        <w:t>供应商资格要求：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一般资格要求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rPr>
        <w:t>投标人符合《中华人民共和国政府采购法》第二十二条的基本规定条件</w:t>
      </w:r>
      <w:r>
        <w:rPr>
          <w:rFonts w:hint="eastAsia" w:ascii="仿宋" w:hAnsi="仿宋" w:eastAsia="仿宋" w:cs="仿宋"/>
          <w:b/>
          <w:bCs/>
          <w:sz w:val="24"/>
          <w:szCs w:val="24"/>
          <w:lang w:eastAsia="zh-CN"/>
        </w:rPr>
        <w:t>，须提供政府采购法实施条例第十七条规定资料：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具有独立承担民事责任的能力</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具有履行合同所必需的</w:t>
      </w:r>
      <w:r>
        <w:rPr>
          <w:rFonts w:hint="eastAsia" w:ascii="仿宋" w:hAnsi="仿宋" w:eastAsia="仿宋" w:cs="仿宋"/>
          <w:b/>
          <w:bCs/>
          <w:sz w:val="24"/>
          <w:szCs w:val="24"/>
          <w:lang w:eastAsia="zh-CN"/>
        </w:rPr>
        <w:t>器械</w:t>
      </w:r>
      <w:r>
        <w:rPr>
          <w:rFonts w:hint="eastAsia" w:ascii="仿宋" w:hAnsi="仿宋" w:eastAsia="仿宋" w:cs="仿宋"/>
          <w:b/>
          <w:bCs/>
          <w:sz w:val="24"/>
          <w:szCs w:val="24"/>
        </w:rPr>
        <w:t>和专业技术能力</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提供承诺函为证明材料（格式自拟）；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参加政府采购活动前三年内，在经营活动中没有重大违法记录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提供参加政府采购活动前3年内在经营活动中没有重大违法记录的书面声明函；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法律、行政法规规定的其他条件</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val="en-US" w:eastAsia="zh-CN"/>
        </w:rPr>
        <w:t>①</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②</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不接受</w:t>
      </w:r>
      <w:r>
        <w:rPr>
          <w:rFonts w:hint="eastAsia" w:ascii="仿宋" w:hAnsi="仿宋" w:eastAsia="仿宋" w:cs="仿宋"/>
          <w:b/>
          <w:bCs/>
          <w:sz w:val="24"/>
          <w:szCs w:val="24"/>
          <w:u w:val="single"/>
          <w:lang w:val="en-US" w:eastAsia="zh-CN"/>
        </w:rPr>
        <w:t xml:space="preserve"> </w:t>
      </w:r>
      <w:r>
        <w:rPr>
          <w:rFonts w:hint="eastAsia" w:ascii="仿宋" w:hAnsi="仿宋" w:eastAsia="仿宋" w:cs="仿宋"/>
          <w:kern w:val="0"/>
          <w:sz w:val="24"/>
          <w:szCs w:val="24"/>
        </w:rPr>
        <w:t>任何形式的</w:t>
      </w:r>
      <w:r>
        <w:rPr>
          <w:rFonts w:hint="eastAsia" w:ascii="仿宋" w:hAnsi="仿宋" w:eastAsia="仿宋" w:cs="仿宋"/>
          <w:sz w:val="24"/>
          <w:szCs w:val="24"/>
        </w:rPr>
        <w:t>联合体投标；</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、报名方式</w:t>
      </w:r>
      <w:r>
        <w:rPr>
          <w:rFonts w:hint="eastAsia" w:ascii="仿宋" w:hAnsi="仿宋" w:eastAsia="仿宋" w:cs="仿宋"/>
          <w:sz w:val="24"/>
          <w:szCs w:val="24"/>
        </w:rPr>
        <w:t>：现场报名。</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供应商报名须提供的材料：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、提供</w:t>
      </w:r>
      <w:r>
        <w:rPr>
          <w:rFonts w:hint="eastAsia" w:ascii="仿宋" w:hAnsi="仿宋" w:eastAsia="仿宋" w:cs="仿宋"/>
          <w:sz w:val="24"/>
          <w:szCs w:val="24"/>
          <w:lang w:val="zh-CN"/>
        </w:rPr>
        <w:t>“信用中国”网站与“中国政府采购网”查询结果网页截图（加盖投标供应商公章）。</w:t>
      </w:r>
    </w:p>
    <w:p>
      <w:pPr>
        <w:spacing w:line="360" w:lineRule="auto"/>
        <w:ind w:right="426"/>
        <w:jc w:val="left"/>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sz w:val="24"/>
          <w:szCs w:val="24"/>
          <w:lang w:eastAsia="zh-CN"/>
        </w:rPr>
        <w:t>院内议标</w:t>
      </w:r>
      <w:r>
        <w:rPr>
          <w:rFonts w:hint="eastAsia" w:ascii="仿宋" w:hAnsi="仿宋" w:eastAsia="仿宋" w:cs="仿宋"/>
          <w:b/>
          <w:sz w:val="24"/>
          <w:szCs w:val="24"/>
        </w:rPr>
        <w:t>文件发售时间、地点：</w:t>
      </w:r>
    </w:p>
    <w:p>
      <w:pPr>
        <w:spacing w:line="360" w:lineRule="auto"/>
        <w:ind w:right="426"/>
        <w:jc w:val="left"/>
        <w:rPr>
          <w:rFonts w:hint="eastAsia" w:ascii="仿宋" w:hAnsi="仿宋" w:eastAsia="仿宋" w:cs="仿宋"/>
          <w:bCs/>
          <w:color w:val="FF0000"/>
          <w:sz w:val="24"/>
          <w:szCs w:val="24"/>
          <w:lang w:eastAsia="zh-CN"/>
        </w:rPr>
      </w:pPr>
      <w:r>
        <w:rPr>
          <w:rFonts w:hint="eastAsia" w:ascii="仿宋" w:hAnsi="仿宋" w:eastAsia="仿宋" w:cs="仿宋"/>
          <w:bCs/>
          <w:color w:val="FF0000"/>
          <w:sz w:val="24"/>
          <w:szCs w:val="24"/>
        </w:rPr>
        <w:t>1、报名时间：</w:t>
      </w:r>
      <w:r>
        <w:rPr>
          <w:rFonts w:hint="eastAsia" w:ascii="仿宋" w:hAnsi="仿宋" w:eastAsia="仿宋" w:cs="仿宋"/>
          <w:bCs/>
          <w:color w:val="FF0000"/>
          <w:sz w:val="24"/>
          <w:szCs w:val="24"/>
          <w:lang w:val="en-US" w:eastAsia="zh-CN"/>
        </w:rPr>
        <w:t>2022</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03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25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时00分至20</w:t>
      </w:r>
      <w:r>
        <w:rPr>
          <w:rFonts w:hint="eastAsia" w:ascii="仿宋" w:hAnsi="仿宋" w:eastAsia="仿宋" w:cs="仿宋"/>
          <w:bCs/>
          <w:color w:val="FF0000"/>
          <w:sz w:val="24"/>
          <w:szCs w:val="24"/>
          <w:lang w:val="en-US" w:eastAsia="zh-CN"/>
        </w:rPr>
        <w:t>22</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03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25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时</w:t>
      </w:r>
      <w:r>
        <w:rPr>
          <w:rFonts w:hint="eastAsia" w:ascii="仿宋" w:hAnsi="仿宋" w:eastAsia="仿宋" w:cs="仿宋"/>
          <w:bCs/>
          <w:color w:val="FF0000"/>
          <w:sz w:val="24"/>
          <w:szCs w:val="24"/>
          <w:lang w:val="en-US" w:eastAsia="zh-CN"/>
        </w:rPr>
        <w:t>3</w:t>
      </w:r>
      <w:r>
        <w:rPr>
          <w:rFonts w:hint="eastAsia" w:ascii="仿宋" w:hAnsi="仿宋" w:eastAsia="仿宋" w:cs="仿宋"/>
          <w:bCs/>
          <w:color w:val="FF0000"/>
          <w:sz w:val="24"/>
          <w:szCs w:val="24"/>
        </w:rPr>
        <w:t>0分</w:t>
      </w:r>
      <w:r>
        <w:rPr>
          <w:rFonts w:hint="eastAsia" w:ascii="仿宋" w:hAnsi="仿宋" w:eastAsia="仿宋" w:cs="仿宋"/>
          <w:bCs/>
          <w:color w:val="FF0000"/>
          <w:sz w:val="24"/>
          <w:szCs w:val="24"/>
          <w:lang w:eastAsia="zh-CN"/>
        </w:rPr>
        <w:t>。</w:t>
      </w:r>
    </w:p>
    <w:p>
      <w:pPr>
        <w:spacing w:line="360" w:lineRule="auto"/>
        <w:ind w:right="426"/>
        <w:jc w:val="left"/>
        <w:rPr>
          <w:rFonts w:hint="eastAsia" w:ascii="仿宋" w:hAnsi="仿宋" w:eastAsia="仿宋" w:cs="仿宋"/>
          <w:bCs/>
          <w:sz w:val="24"/>
          <w:szCs w:val="24"/>
          <w:lang w:eastAsia="zh-CN"/>
        </w:rPr>
      </w:pPr>
      <w:r>
        <w:rPr>
          <w:rFonts w:hint="eastAsia" w:ascii="仿宋" w:hAnsi="仿宋" w:eastAsia="仿宋" w:cs="仿宋"/>
          <w:bCs/>
          <w:sz w:val="24"/>
          <w:szCs w:val="24"/>
        </w:rPr>
        <w:t xml:space="preserve">2、报名地点: </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r>
        <w:rPr>
          <w:rFonts w:hint="eastAsia" w:ascii="仿宋" w:hAnsi="仿宋" w:eastAsia="仿宋" w:cs="仿宋"/>
          <w:b/>
          <w:bCs/>
          <w:sz w:val="24"/>
          <w:szCs w:val="24"/>
          <w:lang w:val="en-US" w:eastAsia="zh-CN"/>
        </w:rPr>
        <w:t>门诊楼三楼或四楼会议室（即议标现场）</w:t>
      </w:r>
      <w:r>
        <w:rPr>
          <w:rFonts w:hint="eastAsia" w:ascii="仿宋" w:hAnsi="仿宋" w:eastAsia="仿宋" w:cs="仿宋"/>
          <w:b/>
          <w:bCs/>
          <w:sz w:val="24"/>
          <w:szCs w:val="24"/>
          <w:lang w:eastAsia="zh-CN"/>
        </w:rPr>
        <w:t>。</w:t>
      </w:r>
    </w:p>
    <w:p>
      <w:pPr>
        <w:spacing w:line="360" w:lineRule="auto"/>
        <w:ind w:right="426"/>
        <w:jc w:val="left"/>
        <w:rPr>
          <w:rFonts w:hint="eastAsia" w:ascii="仿宋" w:hAnsi="仿宋" w:eastAsia="仿宋" w:cs="仿宋"/>
          <w:b/>
          <w:sz w:val="24"/>
          <w:szCs w:val="24"/>
        </w:rPr>
      </w:pPr>
      <w:r>
        <w:rPr>
          <w:rFonts w:hint="eastAsia" w:ascii="仿宋" w:hAnsi="仿宋" w:eastAsia="仿宋" w:cs="仿宋"/>
          <w:bCs/>
          <w:sz w:val="24"/>
          <w:szCs w:val="24"/>
        </w:rPr>
        <w:t>3、文件售价：本次</w:t>
      </w:r>
      <w:r>
        <w:rPr>
          <w:rFonts w:hint="eastAsia" w:ascii="仿宋" w:hAnsi="仿宋" w:eastAsia="仿宋" w:cs="仿宋"/>
          <w:bCs/>
          <w:sz w:val="24"/>
          <w:szCs w:val="24"/>
          <w:lang w:eastAsia="zh-CN"/>
        </w:rPr>
        <w:t>院内议标</w:t>
      </w:r>
      <w:r>
        <w:rPr>
          <w:rFonts w:hint="eastAsia" w:ascii="仿宋" w:hAnsi="仿宋" w:eastAsia="仿宋" w:cs="仿宋"/>
          <w:sz w:val="24"/>
          <w:szCs w:val="24"/>
        </w:rPr>
        <w:t>不收取</w:t>
      </w:r>
      <w:r>
        <w:rPr>
          <w:rFonts w:hint="eastAsia" w:ascii="仿宋" w:hAnsi="仿宋" w:eastAsia="仿宋" w:cs="仿宋"/>
          <w:bCs/>
          <w:sz w:val="24"/>
          <w:szCs w:val="24"/>
        </w:rPr>
        <w:t>文件购买费用。</w:t>
      </w:r>
    </w:p>
    <w:p>
      <w:pPr>
        <w:spacing w:line="360" w:lineRule="auto"/>
        <w:ind w:left="422" w:hanging="482" w:hangingChars="200"/>
        <w:jc w:val="left"/>
        <w:rPr>
          <w:rFonts w:hint="eastAsia" w:ascii="仿宋" w:hAnsi="仿宋" w:eastAsia="仿宋" w:cs="仿宋"/>
          <w:color w:val="FF0000"/>
          <w:sz w:val="24"/>
          <w:szCs w:val="24"/>
          <w:lang w:val="en-US" w:eastAsia="zh-CN"/>
        </w:rPr>
      </w:pPr>
      <w:r>
        <w:rPr>
          <w:rFonts w:hint="eastAsia" w:ascii="仿宋" w:hAnsi="仿宋" w:eastAsia="仿宋" w:cs="仿宋"/>
          <w:b/>
          <w:color w:val="FF0000"/>
          <w:sz w:val="24"/>
          <w:szCs w:val="24"/>
        </w:rPr>
        <w:t>八、投标保证金额</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无</w:t>
      </w:r>
    </w:p>
    <w:p>
      <w:pPr>
        <w:spacing w:line="360" w:lineRule="auto"/>
        <w:jc w:val="left"/>
        <w:rPr>
          <w:rFonts w:hint="eastAsia" w:ascii="仿宋" w:hAnsi="仿宋" w:eastAsia="仿宋" w:cs="仿宋"/>
          <w:b/>
          <w:bCs/>
          <w:sz w:val="24"/>
          <w:szCs w:val="24"/>
        </w:rPr>
      </w:pPr>
      <w:r>
        <w:rPr>
          <w:rFonts w:hint="eastAsia" w:ascii="仿宋" w:hAnsi="仿宋" w:eastAsia="仿宋" w:cs="仿宋"/>
          <w:b/>
          <w:sz w:val="24"/>
          <w:szCs w:val="24"/>
        </w:rPr>
        <w:t>九、响应文件递交的起止时间、地点如下</w:t>
      </w:r>
      <w:r>
        <w:rPr>
          <w:rFonts w:hint="eastAsia" w:ascii="仿宋" w:hAnsi="仿宋" w:eastAsia="仿宋" w:cs="仿宋"/>
          <w:sz w:val="24"/>
          <w:szCs w:val="24"/>
        </w:rPr>
        <w:t>：</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25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截止（北京时间） </w:t>
      </w:r>
    </w:p>
    <w:p>
      <w:pPr>
        <w:spacing w:line="360" w:lineRule="auto"/>
        <w:ind w:right="426" w:firstLine="480" w:firstLineChars="200"/>
        <w:jc w:val="left"/>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晴隆县</w:t>
      </w:r>
      <w:r>
        <w:rPr>
          <w:rFonts w:hint="eastAsia" w:ascii="仿宋" w:hAnsi="仿宋" w:eastAsia="仿宋" w:cs="仿宋"/>
          <w:sz w:val="24"/>
          <w:szCs w:val="24"/>
        </w:rPr>
        <w:t>会议地址：</w:t>
      </w:r>
      <w:r>
        <w:rPr>
          <w:rFonts w:hint="eastAsia" w:ascii="仿宋" w:hAnsi="仿宋" w:eastAsia="仿宋" w:cs="仿宋"/>
          <w:b/>
          <w:bCs/>
          <w:color w:val="auto"/>
          <w:sz w:val="24"/>
          <w:szCs w:val="24"/>
          <w:u w:val="single"/>
          <w:lang w:val="en-US" w:eastAsia="zh-CN"/>
        </w:rPr>
        <w:t>晴隆</w:t>
      </w:r>
      <w:r>
        <w:rPr>
          <w:rFonts w:hint="eastAsia" w:ascii="仿宋" w:hAnsi="仿宋" w:eastAsia="仿宋" w:cs="仿宋"/>
          <w:b/>
          <w:bCs/>
          <w:color w:val="auto"/>
          <w:sz w:val="24"/>
          <w:szCs w:val="24"/>
          <w:u w:val="single"/>
        </w:rPr>
        <w:t>县人民医院</w:t>
      </w:r>
      <w:r>
        <w:rPr>
          <w:rFonts w:hint="eastAsia" w:ascii="仿宋" w:hAnsi="仿宋" w:eastAsia="仿宋" w:cs="仿宋"/>
          <w:b/>
          <w:bCs/>
          <w:color w:val="auto"/>
          <w:sz w:val="24"/>
          <w:szCs w:val="24"/>
          <w:u w:val="single"/>
          <w:lang w:val="en-US" w:eastAsia="zh-CN"/>
        </w:rPr>
        <w:t xml:space="preserve"> 门诊三楼或四楼会议室</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FF0000"/>
          <w:sz w:val="24"/>
          <w:szCs w:val="24"/>
          <w:u w:val="single"/>
          <w:lang w:val="en-US" w:eastAsia="zh-CN"/>
        </w:rPr>
        <w:t xml:space="preserve">         </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议标</w:t>
      </w:r>
      <w:r>
        <w:rPr>
          <w:rFonts w:hint="eastAsia" w:ascii="仿宋" w:hAnsi="仿宋" w:eastAsia="仿宋" w:cs="仿宋"/>
          <w:sz w:val="24"/>
          <w:szCs w:val="24"/>
        </w:rPr>
        <w:t>会议时间：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25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十、收款单位</w:t>
      </w:r>
      <w:r>
        <w:rPr>
          <w:rFonts w:hint="eastAsia" w:ascii="仿宋" w:hAnsi="仿宋" w:eastAsia="仿宋" w:cs="仿宋"/>
          <w:b/>
          <w:sz w:val="24"/>
          <w:szCs w:val="24"/>
          <w:lang w:eastAsia="zh-CN"/>
        </w:rPr>
        <w:t>：</w:t>
      </w:r>
      <w:r>
        <w:rPr>
          <w:rFonts w:hint="eastAsia" w:ascii="仿宋" w:hAnsi="仿宋" w:eastAsia="仿宋" w:cs="仿宋"/>
          <w:b/>
          <w:bCs w:val="0"/>
          <w:sz w:val="24"/>
          <w:szCs w:val="24"/>
          <w:lang w:eastAsia="zh-CN"/>
        </w:rPr>
        <w:t>晴隆</w:t>
      </w:r>
      <w:r>
        <w:rPr>
          <w:rFonts w:hint="eastAsia" w:ascii="仿宋" w:hAnsi="仿宋" w:eastAsia="仿宋" w:cs="仿宋"/>
          <w:b/>
          <w:bCs w:val="0"/>
          <w:sz w:val="24"/>
          <w:szCs w:val="24"/>
        </w:rPr>
        <w:t>县人民医院</w:t>
      </w:r>
    </w:p>
    <w:p>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开户银行：中国建设银行晴隆支行</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银行账号：52001676336050001174</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行号：105707481979</w:t>
      </w:r>
    </w:p>
    <w:p>
      <w:pPr>
        <w:spacing w:line="360" w:lineRule="auto"/>
        <w:ind w:firstLine="602" w:firstLineChars="250"/>
        <w:jc w:val="left"/>
        <w:rPr>
          <w:rFonts w:hint="eastAsia" w:ascii="仿宋" w:hAnsi="仿宋" w:eastAsia="仿宋" w:cs="仿宋"/>
          <w:b/>
          <w:color w:val="FF0000"/>
          <w:sz w:val="24"/>
          <w:szCs w:val="24"/>
        </w:rPr>
      </w:pPr>
    </w:p>
    <w:p>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十一、其他事项：</w:t>
      </w:r>
    </w:p>
    <w:p>
      <w:pPr>
        <w:spacing w:line="360" w:lineRule="auto"/>
        <w:ind w:firstLine="960" w:firstLineChars="4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本次招标公告发布在晴隆县人民医院官网</w:t>
      </w:r>
    </w:p>
    <w:p>
      <w:pPr>
        <w:spacing w:line="360" w:lineRule="auto"/>
        <w:ind w:firstLine="960" w:firstLineChars="4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采购人名称：</w:t>
      </w:r>
      <w:r>
        <w:rPr>
          <w:rFonts w:hint="eastAsia" w:ascii="仿宋" w:hAnsi="仿宋" w:eastAsia="仿宋" w:cs="仿宋"/>
          <w:b w:val="0"/>
          <w:bCs w:val="0"/>
          <w:color w:val="auto"/>
          <w:sz w:val="24"/>
          <w:szCs w:val="24"/>
          <w:lang w:val="en-US" w:eastAsia="zh-CN"/>
        </w:rPr>
        <w:t>晴隆</w:t>
      </w:r>
      <w:r>
        <w:rPr>
          <w:rFonts w:hint="eastAsia" w:ascii="仿宋" w:hAnsi="仿宋" w:eastAsia="仿宋" w:cs="仿宋"/>
          <w:b w:val="0"/>
          <w:bCs w:val="0"/>
          <w:color w:val="auto"/>
          <w:sz w:val="24"/>
          <w:szCs w:val="24"/>
        </w:rPr>
        <w:t>县人民医院</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地      址：</w:t>
      </w:r>
      <w:r>
        <w:rPr>
          <w:rFonts w:hint="eastAsia" w:ascii="仿宋" w:hAnsi="仿宋" w:eastAsia="仿宋" w:cs="仿宋"/>
          <w:b w:val="0"/>
          <w:bCs w:val="0"/>
          <w:color w:val="auto"/>
          <w:sz w:val="24"/>
          <w:szCs w:val="24"/>
          <w:lang w:val="en-US" w:eastAsia="zh-CN"/>
        </w:rPr>
        <w:t>贵州省晴隆县莲城镇西街</w:t>
      </w:r>
    </w:p>
    <w:p>
      <w:pPr>
        <w:spacing w:line="360" w:lineRule="auto"/>
        <w:ind w:firstLine="720" w:firstLineChars="3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  系  人：</w:t>
      </w:r>
      <w:r>
        <w:rPr>
          <w:rFonts w:hint="eastAsia" w:ascii="仿宋" w:hAnsi="仿宋" w:eastAsia="仿宋" w:cs="仿宋"/>
          <w:b w:val="0"/>
          <w:bCs w:val="0"/>
          <w:color w:val="auto"/>
          <w:sz w:val="24"/>
          <w:szCs w:val="24"/>
          <w:lang w:val="en-US" w:eastAsia="zh-CN"/>
        </w:rPr>
        <w:t>牛老师</w:t>
      </w:r>
      <w:r>
        <w:rPr>
          <w:rFonts w:hint="eastAsia" w:ascii="仿宋" w:hAnsi="仿宋" w:eastAsia="仿宋" w:cs="仿宋"/>
          <w:b w:val="0"/>
          <w:bCs w:val="0"/>
          <w:color w:val="auto"/>
          <w:sz w:val="24"/>
          <w:szCs w:val="24"/>
        </w:rPr>
        <w:t xml:space="preserve">      </w:t>
      </w:r>
    </w:p>
    <w:p>
      <w:pPr>
        <w:spacing w:line="360" w:lineRule="auto"/>
        <w:ind w:firstLine="720" w:firstLineChars="300"/>
        <w:jc w:val="left"/>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val="en-US" w:eastAsia="zh-CN"/>
        </w:rPr>
        <w:t>18788759666</w:t>
      </w:r>
    </w:p>
    <w:p>
      <w:pPr>
        <w:spacing w:line="360" w:lineRule="auto"/>
        <w:rPr>
          <w:rFonts w:hint="eastAsia" w:ascii="仿宋" w:hAnsi="仿宋" w:eastAsia="仿宋" w:cs="仿宋"/>
          <w:sz w:val="24"/>
          <w:szCs w:val="24"/>
        </w:rPr>
      </w:pPr>
    </w:p>
    <w:p>
      <w:pPr>
        <w:spacing w:line="360" w:lineRule="auto"/>
        <w:ind w:right="210" w:firstLine="480" w:firstLineChars="200"/>
        <w:jc w:val="right"/>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21 </w:t>
      </w:r>
      <w:r>
        <w:rPr>
          <w:rFonts w:hint="eastAsia" w:ascii="仿宋" w:hAnsi="仿宋" w:eastAsia="仿宋" w:cs="仿宋"/>
          <w:color w:val="FF0000"/>
          <w:sz w:val="24"/>
          <w:szCs w:val="24"/>
        </w:rPr>
        <w:t>日</w:t>
      </w:r>
      <w:r>
        <w:rPr>
          <w:rFonts w:hint="eastAsia" w:ascii="仿宋" w:hAnsi="仿宋" w:eastAsia="仿宋" w:cs="仿宋"/>
          <w:sz w:val="24"/>
          <w:szCs w:val="24"/>
        </w:rPr>
        <w:t xml:space="preserve"> </w:t>
      </w:r>
    </w:p>
    <w:bookmarkEnd w:id="31"/>
    <w:p>
      <w:pPr>
        <w:wordWrap w:val="0"/>
        <w:spacing w:line="360" w:lineRule="auto"/>
        <w:jc w:val="center"/>
        <w:rPr>
          <w:rFonts w:hint="eastAsia" w:ascii="仿宋" w:hAnsi="仿宋" w:eastAsia="仿宋" w:cs="仿宋"/>
          <w:b/>
          <w:bCs/>
          <w:sz w:val="44"/>
          <w:szCs w:val="44"/>
        </w:rPr>
      </w:pPr>
      <w:bookmarkStart w:id="7" w:name="_Toc6295"/>
      <w:bookmarkStart w:id="8" w:name="_Toc31709"/>
      <w:bookmarkStart w:id="9" w:name="_Toc9511"/>
      <w:bookmarkStart w:id="10" w:name="_Toc12768"/>
      <w:bookmarkStart w:id="11" w:name="_Toc17312"/>
      <w:bookmarkStart w:id="12" w:name="_Toc27725"/>
      <w:bookmarkStart w:id="13" w:name="_Toc28994"/>
    </w:p>
    <w:p>
      <w:pPr>
        <w:wordWrap w:val="0"/>
        <w:spacing w:line="360" w:lineRule="auto"/>
        <w:jc w:val="center"/>
        <w:rPr>
          <w:rFonts w:hint="eastAsia" w:ascii="仿宋" w:hAnsi="仿宋" w:eastAsia="仿宋" w:cs="仿宋"/>
          <w:sz w:val="44"/>
          <w:szCs w:val="44"/>
        </w:rPr>
      </w:pPr>
      <w:r>
        <w:rPr>
          <w:rFonts w:hint="eastAsia" w:ascii="仿宋" w:hAnsi="仿宋" w:eastAsia="仿宋" w:cs="仿宋"/>
          <w:b/>
          <w:bCs/>
          <w:sz w:val="44"/>
          <w:szCs w:val="44"/>
        </w:rPr>
        <w:t>第二章  报价前附表及供应商须知</w:t>
      </w:r>
      <w:bookmarkEnd w:id="7"/>
      <w:bookmarkEnd w:id="8"/>
      <w:bookmarkEnd w:id="9"/>
      <w:bookmarkEnd w:id="10"/>
      <w:bookmarkEnd w:id="11"/>
      <w:bookmarkEnd w:id="12"/>
      <w:bookmarkEnd w:id="13"/>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65" w:type="dxa"/>
            <w:gridSpan w:val="2"/>
            <w:noWrap w:val="0"/>
            <w:vAlign w:val="top"/>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报价前须知附表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8" w:type="dxa"/>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9057" w:type="dxa"/>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投标供应商资格要求：</w:t>
            </w:r>
            <w:r>
              <w:rPr>
                <w:rFonts w:hint="eastAsia" w:ascii="仿宋" w:hAnsi="仿宋" w:eastAsia="仿宋" w:cs="仿宋"/>
                <w:b/>
                <w:bCs w:val="0"/>
                <w:sz w:val="24"/>
                <w:szCs w:val="24"/>
              </w:rPr>
              <w:t>详见第一章《政府采购邀请函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057" w:type="dxa"/>
            <w:noWrap w:val="0"/>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采购单位：</w:t>
            </w:r>
            <w:r>
              <w:rPr>
                <w:rFonts w:hint="eastAsia" w:ascii="仿宋" w:hAnsi="仿宋" w:eastAsia="仿宋" w:cs="仿宋"/>
                <w:b w:val="0"/>
                <w:bCs w:val="0"/>
                <w:sz w:val="24"/>
                <w:szCs w:val="24"/>
                <w:lang w:eastAsia="zh-CN"/>
              </w:rPr>
              <w:t>晴隆</w:t>
            </w:r>
            <w:r>
              <w:rPr>
                <w:rFonts w:hint="eastAsia" w:ascii="仿宋" w:hAnsi="仿宋" w:eastAsia="仿宋" w:cs="仿宋"/>
                <w:b w:val="0"/>
                <w:bCs w:val="0"/>
                <w:sz w:val="24"/>
                <w:szCs w:val="24"/>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057" w:type="dxa"/>
            <w:noWrap w:val="0"/>
            <w:vAlign w:val="top"/>
          </w:tcPr>
          <w:p>
            <w:pPr>
              <w:tabs>
                <w:tab w:val="left" w:pos="1088"/>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资金来源：</w:t>
            </w:r>
            <w:r>
              <w:rPr>
                <w:rFonts w:hint="eastAsia" w:ascii="仿宋" w:hAnsi="仿宋" w:eastAsia="仿宋" w:cs="仿宋"/>
                <w:b w:val="0"/>
                <w:bCs w:val="0"/>
                <w:sz w:val="24"/>
                <w:szCs w:val="24"/>
              </w:rPr>
              <w:t>医院业务资金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sz w:val="24"/>
                <w:szCs w:val="24"/>
              </w:rPr>
              <w:t>响应文件递交时间及地点</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25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color w:val="FF0000"/>
                <w:sz w:val="24"/>
                <w:szCs w:val="24"/>
                <w:lang w:eastAsia="zh-CN"/>
              </w:rPr>
              <w:t>截止</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25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（北京时间） </w:t>
            </w:r>
          </w:p>
          <w:p>
            <w:pPr>
              <w:spacing w:line="360" w:lineRule="auto"/>
              <w:ind w:right="426"/>
              <w:jc w:val="left"/>
              <w:rPr>
                <w:rFonts w:hint="eastAsia" w:ascii="仿宋" w:hAnsi="仿宋" w:eastAsia="仿宋" w:cs="仿宋"/>
                <w:bCs/>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晴隆县人民医院门诊三楼或四楼会议室</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4、项目联系人：</w:t>
            </w:r>
            <w:r>
              <w:rPr>
                <w:rFonts w:hint="eastAsia" w:ascii="仿宋" w:hAnsi="仿宋" w:eastAsia="仿宋" w:cs="仿宋"/>
                <w:color w:val="auto"/>
                <w:sz w:val="24"/>
                <w:szCs w:val="24"/>
                <w:lang w:val="en-US" w:eastAsia="zh-CN"/>
              </w:rPr>
              <w:t>牛老师</w:t>
            </w:r>
          </w:p>
          <w:p>
            <w:pPr>
              <w:spacing w:line="360" w:lineRule="auto"/>
              <w:rPr>
                <w:rFonts w:hint="eastAsia" w:ascii="仿宋" w:hAnsi="仿宋" w:eastAsia="仿宋" w:cs="仿宋"/>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18788759666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4"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9057"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bookmarkStart w:id="14" w:name="OLE_LINK11"/>
            <w:r>
              <w:rPr>
                <w:rFonts w:hint="eastAsia" w:ascii="仿宋" w:hAnsi="仿宋" w:eastAsia="仿宋" w:cs="仿宋"/>
                <w:b/>
                <w:bCs/>
                <w:color w:val="auto"/>
                <w:sz w:val="24"/>
                <w:szCs w:val="24"/>
              </w:rPr>
              <w:t>身份验证：</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1、法定代表人本人参加的，提供法定代表人身份证明</w:t>
            </w:r>
            <w:r>
              <w:rPr>
                <w:rFonts w:hint="eastAsia" w:ascii="仿宋" w:hAnsi="仿宋" w:eastAsia="仿宋" w:cs="仿宋"/>
                <w:sz w:val="24"/>
                <w:szCs w:val="24"/>
                <w:lang w:eastAsia="zh-CN"/>
              </w:rPr>
              <w:t>书原件及</w:t>
            </w:r>
            <w:r>
              <w:rPr>
                <w:rFonts w:hint="eastAsia" w:ascii="仿宋" w:hAnsi="仿宋" w:eastAsia="仿宋" w:cs="仿宋"/>
                <w:sz w:val="24"/>
                <w:szCs w:val="24"/>
              </w:rPr>
              <w:t>法人身份证原件；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2、授权他人参加的，提供法人针对本项目的授权委托书原件及被委托人身份证原件；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资格审查：</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1、投标供应商</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r>
              <w:rPr>
                <w:rFonts w:hint="eastAsia" w:ascii="仿宋" w:hAnsi="仿宋" w:eastAsia="仿宋" w:cs="仿宋"/>
                <w:sz w:val="24"/>
                <w:szCs w:val="24"/>
                <w:lang w:eastAsia="zh-CN"/>
              </w:rPr>
              <w:t>原件或复印件加盖公章</w:t>
            </w:r>
            <w:r>
              <w:rPr>
                <w:rFonts w:hint="eastAsia" w:ascii="仿宋" w:hAnsi="仿宋" w:eastAsia="仿宋" w:cs="仿宋"/>
                <w:sz w:val="24"/>
                <w:szCs w:val="24"/>
              </w:rPr>
              <w:t>；</w:t>
            </w:r>
          </w:p>
          <w:bookmarkEnd w:id="1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kern w:val="0"/>
                <w:sz w:val="24"/>
                <w:szCs w:val="24"/>
                <w:lang w:val="en-US" w:eastAsia="zh-CN"/>
              </w:rPr>
              <w:t>、</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b w:val="0"/>
                <w:bCs w:val="0"/>
                <w:sz w:val="24"/>
                <w:szCs w:val="24"/>
              </w:rPr>
              <w:t>具有履行合同所必需的设备和专业技术能力</w:t>
            </w:r>
            <w:r>
              <w:rPr>
                <w:rFonts w:hint="eastAsia" w:ascii="仿宋" w:hAnsi="仿宋" w:eastAsia="仿宋" w:cs="仿宋"/>
                <w:b w:val="0"/>
                <w:bCs w:val="0"/>
                <w:sz w:val="24"/>
                <w:szCs w:val="24"/>
                <w:lang w:eastAsia="zh-CN"/>
              </w:rPr>
              <w:t>的承诺函原件</w:t>
            </w:r>
            <w:r>
              <w:rPr>
                <w:rFonts w:hint="eastAsia" w:ascii="仿宋" w:hAnsi="仿宋" w:eastAsia="仿宋" w:cs="仿宋"/>
                <w:b/>
                <w:bCs/>
                <w:sz w:val="24"/>
                <w:szCs w:val="24"/>
                <w:lang w:eastAsia="zh-CN"/>
              </w:rPr>
              <w:t>（格式自拟）；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提供参加政府采购活动前3年内在经营活动中没有重大违法记录的书面声明函</w:t>
            </w:r>
            <w:r>
              <w:rPr>
                <w:rFonts w:hint="eastAsia" w:ascii="仿宋" w:hAnsi="仿宋" w:eastAsia="仿宋" w:cs="仿宋"/>
                <w:kern w:val="0"/>
                <w:sz w:val="24"/>
                <w:szCs w:val="24"/>
              </w:rPr>
              <w:t>原件</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w:t>
            </w:r>
            <w:r>
              <w:rPr>
                <w:rFonts w:hint="eastAsia" w:ascii="仿宋" w:hAnsi="仿宋" w:eastAsia="仿宋" w:cs="仿宋"/>
                <w:sz w:val="24"/>
                <w:szCs w:val="24"/>
                <w:lang w:eastAsia="zh-CN"/>
              </w:rPr>
              <w:t>的</w:t>
            </w:r>
            <w:r>
              <w:rPr>
                <w:rFonts w:hint="eastAsia" w:ascii="仿宋" w:hAnsi="仿宋" w:eastAsia="仿宋" w:cs="仿宋"/>
                <w:sz w:val="24"/>
                <w:szCs w:val="24"/>
              </w:rPr>
              <w:t>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投标供应商</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投标供应商</w:t>
            </w:r>
            <w:r>
              <w:rPr>
                <w:rFonts w:hint="eastAsia" w:ascii="仿宋" w:hAnsi="仿宋" w:eastAsia="仿宋" w:cs="仿宋"/>
                <w:sz w:val="24"/>
                <w:szCs w:val="24"/>
                <w:lang w:eastAsia="zh-CN"/>
              </w:rPr>
              <w:t>提供非任何形式的</w:t>
            </w:r>
            <w:r>
              <w:rPr>
                <w:rFonts w:hint="eastAsia" w:ascii="仿宋" w:hAnsi="仿宋" w:eastAsia="仿宋" w:cs="仿宋"/>
                <w:sz w:val="24"/>
                <w:szCs w:val="24"/>
              </w:rPr>
              <w:t>联合体投标</w:t>
            </w:r>
            <w:r>
              <w:rPr>
                <w:rFonts w:hint="eastAsia" w:ascii="仿宋" w:hAnsi="仿宋" w:eastAsia="仿宋" w:cs="仿宋"/>
                <w:sz w:val="24"/>
                <w:szCs w:val="24"/>
                <w:lang w:eastAsia="zh-CN"/>
              </w:rPr>
              <w:t>承诺函原件（</w:t>
            </w:r>
            <w:r>
              <w:rPr>
                <w:rFonts w:hint="eastAsia" w:ascii="仿宋" w:hAnsi="仿宋" w:eastAsia="仿宋" w:cs="仿宋"/>
                <w:sz w:val="24"/>
                <w:szCs w:val="24"/>
                <w:lang w:val="en-US" w:eastAsia="zh-CN"/>
              </w:rPr>
              <w:t>格式自拟）</w:t>
            </w:r>
            <w:r>
              <w:rPr>
                <w:rFonts w:hint="eastAsia" w:ascii="仿宋" w:hAnsi="仿宋" w:eastAsia="仿宋" w:cs="仿宋"/>
                <w:b w:val="0"/>
                <w:bCs w:val="0"/>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注：投标供应商必须单独提交以上所有证件若未提供或提供不全的，取消其投标资格。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057" w:type="dxa"/>
            <w:noWrap w:val="0"/>
            <w:vAlign w:val="center"/>
          </w:tcPr>
          <w:p>
            <w:pPr>
              <w:adjustRightInd w:val="0"/>
              <w:snapToGrid w:val="0"/>
              <w:spacing w:line="400" w:lineRule="exact"/>
              <w:ind w:right="15" w:rightChars="7"/>
              <w:rPr>
                <w:rFonts w:hint="default" w:ascii="仿宋" w:hAnsi="仿宋" w:eastAsia="仿宋" w:cs="仿宋"/>
                <w:sz w:val="24"/>
                <w:szCs w:val="24"/>
                <w:lang w:val="en-US" w:eastAsia="zh-CN"/>
              </w:rPr>
            </w:pPr>
            <w:bookmarkStart w:id="15" w:name="OLE_LINK51"/>
            <w:r>
              <w:rPr>
                <w:rFonts w:hint="eastAsia" w:ascii="仿宋" w:hAnsi="仿宋" w:eastAsia="仿宋" w:cs="仿宋"/>
                <w:sz w:val="24"/>
                <w:szCs w:val="24"/>
                <w:lang w:val="en-US" w:eastAsia="zh-CN"/>
              </w:rPr>
              <w:t>供货时间：合同签订后30个日历日</w:t>
            </w:r>
          </w:p>
          <w:bookmarkEnd w:id="15"/>
          <w:p>
            <w:pPr>
              <w:spacing w:line="360" w:lineRule="auto"/>
              <w:rPr>
                <w:rFonts w:hint="eastAsia" w:ascii="仿宋" w:hAnsi="仿宋" w:eastAsia="仿宋" w:cs="仿宋"/>
                <w:sz w:val="24"/>
                <w:szCs w:val="24"/>
              </w:rPr>
            </w:pPr>
            <w:r>
              <w:rPr>
                <w:rFonts w:hint="eastAsia" w:ascii="仿宋" w:hAnsi="仿宋" w:eastAsia="仿宋" w:cs="仿宋"/>
                <w:b/>
                <w:bCs/>
                <w:sz w:val="24"/>
                <w:szCs w:val="24"/>
              </w:rPr>
              <w:t>供货地点：</w:t>
            </w:r>
            <w:bookmarkStart w:id="16" w:name="OLE_LINK50"/>
            <w:r>
              <w:rPr>
                <w:rFonts w:hint="eastAsia" w:ascii="仿宋" w:hAnsi="仿宋" w:eastAsia="仿宋" w:cs="仿宋"/>
                <w:sz w:val="24"/>
                <w:szCs w:val="24"/>
              </w:rPr>
              <w:t>采购人指定地点。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57"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b/>
                <w:bCs/>
                <w:sz w:val="24"/>
                <w:szCs w:val="24"/>
                <w:lang w:val="zh-CN"/>
              </w:rPr>
              <w:t>付款方式：</w:t>
            </w:r>
            <w:r>
              <w:rPr>
                <w:rFonts w:hint="eastAsia" w:ascii="仿宋" w:hAnsi="仿宋" w:eastAsia="仿宋" w:cs="仿宋"/>
                <w:b/>
                <w:bCs/>
                <w:sz w:val="24"/>
                <w:szCs w:val="24"/>
                <w:lang w:val="en-US" w:eastAsia="zh-CN"/>
              </w:rPr>
              <w:t>以采购合同约定为主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57" w:type="dxa"/>
            <w:noWrap w:val="0"/>
            <w:vAlign w:val="center"/>
          </w:tcPr>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lang w:val="zh-CN"/>
              </w:rPr>
              <w:t>投标报价：</w:t>
            </w:r>
            <w:r>
              <w:rPr>
                <w:rFonts w:hint="eastAsia" w:ascii="仿宋" w:hAnsi="仿宋" w:eastAsia="仿宋" w:cs="仿宋"/>
                <w:sz w:val="24"/>
                <w:szCs w:val="24"/>
              </w:rPr>
              <w:t>成品到达交货地点的包干单价；</w:t>
            </w:r>
          </w:p>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rPr>
              <w:t>投标报价应包括</w:t>
            </w:r>
            <w:r>
              <w:rPr>
                <w:rFonts w:hint="eastAsia" w:ascii="仿宋" w:hAnsi="仿宋" w:eastAsia="仿宋" w:cs="仿宋"/>
                <w:sz w:val="24"/>
                <w:szCs w:val="24"/>
              </w:rPr>
              <w:t>：设备、人工、运输（到达采购人指定地点）、售后服务、办理进出口贸易手续、验收、税金等政策性文件规定及合同包含的所有风险、责任、进口报关等各项应有的费用，即总价包干。</w:t>
            </w:r>
          </w:p>
          <w:p>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、投标货币</w:t>
            </w:r>
            <w:r>
              <w:rPr>
                <w:rFonts w:hint="eastAsia" w:ascii="仿宋" w:hAnsi="仿宋" w:eastAsia="仿宋" w:cs="仿宋"/>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008"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标书份数：正本一份，副本</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6"/>
              <w:spacing w:before="120" w:beforeLines="50" w:afterLines="50" w:line="360" w:lineRule="auto"/>
              <w:ind w:left="0" w:leftChars="0"/>
              <w:jc w:val="center"/>
              <w:rPr>
                <w:rStyle w:val="13"/>
                <w:rFonts w:hint="default" w:ascii="仿宋" w:hAnsi="仿宋" w:eastAsia="仿宋" w:cs="仿宋"/>
                <w:b w:val="0"/>
                <w:bCs w:val="0"/>
                <w:sz w:val="24"/>
                <w:szCs w:val="24"/>
                <w:lang w:val="en-US" w:eastAsia="zh-CN"/>
              </w:rPr>
            </w:pPr>
            <w:r>
              <w:rPr>
                <w:rStyle w:val="13"/>
                <w:rFonts w:hint="eastAsia" w:ascii="仿宋" w:hAnsi="仿宋" w:eastAsia="仿宋" w:cs="仿宋"/>
                <w:b w:val="0"/>
                <w:bCs w:val="0"/>
                <w:sz w:val="24"/>
                <w:szCs w:val="24"/>
                <w:lang w:val="en-US" w:eastAsia="zh-CN"/>
              </w:rPr>
              <w:t>11</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答疑：</w:t>
            </w:r>
            <w:r>
              <w:rPr>
                <w:rFonts w:hint="eastAsia" w:ascii="仿宋" w:hAnsi="仿宋" w:eastAsia="仿宋" w:cs="仿宋"/>
                <w:b/>
                <w:bCs/>
                <w:sz w:val="24"/>
                <w:szCs w:val="24"/>
                <w:lang w:eastAsia="zh-CN"/>
              </w:rPr>
              <w:t>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23</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18 </w:t>
            </w:r>
            <w:r>
              <w:rPr>
                <w:rFonts w:hint="eastAsia" w:ascii="仿宋" w:hAnsi="仿宋" w:eastAsia="仿宋" w:cs="仿宋"/>
                <w:color w:val="FF0000"/>
                <w:sz w:val="24"/>
                <w:szCs w:val="24"/>
              </w:rPr>
              <w:t>时00分前</w:t>
            </w:r>
            <w:r>
              <w:rPr>
                <w:rFonts w:hint="eastAsia" w:ascii="仿宋" w:hAnsi="仿宋" w:eastAsia="仿宋" w:cs="仿宋"/>
                <w:sz w:val="24"/>
                <w:szCs w:val="24"/>
              </w:rPr>
              <w:t>接受答疑（逾期不予受理）。</w:t>
            </w:r>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县人民医院对</w:t>
            </w:r>
            <w:r>
              <w:rPr>
                <w:rFonts w:hint="eastAsia" w:ascii="仿宋" w:hAnsi="仿宋" w:eastAsia="仿宋" w:cs="仿宋"/>
                <w:sz w:val="24"/>
                <w:szCs w:val="24"/>
                <w:lang w:eastAsia="zh-CN"/>
              </w:rPr>
              <w:t>院内议标</w:t>
            </w:r>
            <w:r>
              <w:rPr>
                <w:rFonts w:hint="eastAsia" w:ascii="仿宋" w:hAnsi="仿宋" w:eastAsia="仿宋" w:cs="仿宋"/>
                <w:sz w:val="24"/>
                <w:szCs w:val="24"/>
              </w:rPr>
              <w:t>文件进行的澄清、更正或更改，将另行通知，该通知内容为文件的组成部分，对报名参与投标的供应商具有同样约束力效力。报名参与投标的应主动咨询。</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县人民医院不承担供应商未及时关注相关信息引发的相关责任。</w:t>
            </w:r>
          </w:p>
        </w:tc>
      </w:tr>
    </w:tbl>
    <w:p/>
    <w:p>
      <w:pPr>
        <w:spacing w:line="440" w:lineRule="exact"/>
        <w:ind w:firstLine="315" w:firstLineChars="150"/>
        <w:rPr>
          <w:rFonts w:hint="eastAsia" w:ascii="宋体" w:hAnsi="宋体" w:eastAsia="宋体" w:cs="宋体"/>
          <w:szCs w:val="21"/>
        </w:rPr>
      </w:pPr>
    </w:p>
    <w:bookmarkEnd w:id="3"/>
    <w:p>
      <w:pPr>
        <w:pStyle w:val="3"/>
        <w:spacing w:line="360" w:lineRule="auto"/>
        <w:jc w:val="center"/>
        <w:rPr>
          <w:rFonts w:hint="eastAsia" w:ascii="仿宋" w:hAnsi="仿宋" w:eastAsia="仿宋" w:cs="仿宋"/>
          <w:b/>
          <w:bCs/>
          <w:sz w:val="44"/>
          <w:szCs w:val="44"/>
        </w:rPr>
      </w:pPr>
      <w:bookmarkStart w:id="17" w:name="_Toc7121"/>
      <w:r>
        <w:rPr>
          <w:rFonts w:hint="eastAsia" w:ascii="仿宋" w:hAnsi="仿宋" w:eastAsia="仿宋" w:cs="仿宋"/>
          <w:b/>
          <w:bCs/>
          <w:sz w:val="44"/>
          <w:szCs w:val="44"/>
        </w:rPr>
        <w:t>询 价 须 知</w:t>
      </w:r>
      <w:bookmarkEnd w:id="17"/>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一、总则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（一）使用范围</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院内议标</w:t>
      </w:r>
      <w:r>
        <w:rPr>
          <w:rFonts w:hint="eastAsia" w:ascii="仿宋" w:hAnsi="仿宋" w:eastAsia="仿宋" w:cs="仿宋"/>
          <w:sz w:val="24"/>
          <w:szCs w:val="24"/>
        </w:rPr>
        <w:t>文件使用于本次采购项目。</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（二）定义</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1、“甲方”系指本次采购的采购人：</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2、“乙方”系指提交响应文件的供应商</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 系指</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文件规定乙方须承担的服务承诺和其他类似的义务。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（三）资格条件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详见第一章：采购邀请函。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（四）投标费用</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乙方应承担其现场核查采购样品、编制响应文件与递交响应文件所涉及的一切费用。不管结果如何，甲方对上述费用不负任何责任。各种费用乙方全部自理。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院内议标</w:t>
      </w:r>
      <w:r>
        <w:rPr>
          <w:rFonts w:hint="eastAsia" w:ascii="仿宋" w:hAnsi="仿宋" w:eastAsia="仿宋" w:cs="仿宋"/>
          <w:sz w:val="24"/>
          <w:szCs w:val="24"/>
        </w:rPr>
        <w:t>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各参与投标的供应商必须完全实质性响应本</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文件的要求制作响应文件</w:t>
      </w:r>
      <w:r>
        <w:rPr>
          <w:rFonts w:hint="eastAsia" w:ascii="仿宋" w:hAnsi="仿宋" w:eastAsia="仿宋" w:cs="仿宋"/>
          <w:b/>
          <w:bCs/>
          <w:sz w:val="24"/>
          <w:szCs w:val="24"/>
        </w:rPr>
        <w:t>；</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院内议标</w:t>
      </w:r>
      <w:r>
        <w:rPr>
          <w:rFonts w:hint="eastAsia" w:ascii="仿宋" w:hAnsi="仿宋" w:eastAsia="仿宋" w:cs="仿宋"/>
          <w:b/>
          <w:sz w:val="32"/>
          <w:szCs w:val="32"/>
        </w:rPr>
        <w:t>文件（甲方</w:t>
      </w:r>
      <w:r>
        <w:rPr>
          <w:rFonts w:hint="eastAsia" w:ascii="仿宋" w:hAnsi="仿宋" w:eastAsia="仿宋" w:cs="仿宋"/>
          <w:sz w:val="32"/>
          <w:szCs w:val="32"/>
        </w:rPr>
        <w:t>）</w:t>
      </w:r>
    </w:p>
    <w:p>
      <w:pPr>
        <w:spacing w:line="360" w:lineRule="auto"/>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院内议标</w:t>
      </w:r>
      <w:r>
        <w:rPr>
          <w:rFonts w:hint="eastAsia" w:ascii="仿宋" w:hAnsi="仿宋" w:eastAsia="仿宋" w:cs="仿宋"/>
          <w:sz w:val="24"/>
          <w:szCs w:val="24"/>
        </w:rPr>
        <w:t>文件”是用以阐明所采购项目的要求、服务情况以及相应的合同条款。本次“</w:t>
      </w:r>
      <w:r>
        <w:rPr>
          <w:rFonts w:hint="eastAsia" w:ascii="仿宋" w:hAnsi="仿宋" w:eastAsia="仿宋" w:cs="仿宋"/>
          <w:sz w:val="24"/>
          <w:szCs w:val="24"/>
          <w:lang w:eastAsia="zh-CN"/>
        </w:rPr>
        <w:t>院内议标</w:t>
      </w:r>
      <w:r>
        <w:rPr>
          <w:rFonts w:hint="eastAsia" w:ascii="仿宋" w:hAnsi="仿宋" w:eastAsia="仿宋" w:cs="仿宋"/>
          <w:sz w:val="24"/>
          <w:szCs w:val="24"/>
        </w:rPr>
        <w:t>文件”由下述部分组成：</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第一章  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第二章  前附表及供应商须知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第三章  采购内容及质量要求</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第四章  响应文件格式及附件</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三、报价和服务</w:t>
      </w:r>
    </w:p>
    <w:p>
      <w:pPr>
        <w:spacing w:line="360" w:lineRule="auto"/>
        <w:ind w:left="210" w:hanging="240" w:hangingChars="100"/>
        <w:jc w:val="left"/>
        <w:rPr>
          <w:rFonts w:hint="eastAsia" w:ascii="仿宋" w:hAnsi="仿宋" w:eastAsia="仿宋" w:cs="仿宋"/>
          <w:b w:val="0"/>
          <w:bCs w:val="0"/>
          <w:sz w:val="24"/>
          <w:szCs w:val="24"/>
        </w:rPr>
      </w:pPr>
      <w:r>
        <w:rPr>
          <w:rFonts w:hint="eastAsia" w:ascii="仿宋" w:hAnsi="仿宋" w:eastAsia="仿宋" w:cs="仿宋"/>
          <w:sz w:val="24"/>
          <w:szCs w:val="24"/>
        </w:rPr>
        <w:t xml:space="preserve">    1、投标人应按</w:t>
      </w:r>
      <w:r>
        <w:rPr>
          <w:rFonts w:hint="eastAsia" w:ascii="仿宋" w:hAnsi="仿宋" w:eastAsia="仿宋" w:cs="仿宋"/>
          <w:sz w:val="24"/>
          <w:szCs w:val="24"/>
          <w:lang w:eastAsia="zh-CN"/>
        </w:rPr>
        <w:t>院内议标</w:t>
      </w:r>
      <w:r>
        <w:rPr>
          <w:rFonts w:hint="eastAsia" w:ascii="仿宋" w:hAnsi="仿宋" w:eastAsia="仿宋" w:cs="仿宋"/>
          <w:sz w:val="24"/>
          <w:szCs w:val="24"/>
        </w:rPr>
        <w:t>文件所提的项目服务要求在“响应文件”所附的“</w:t>
      </w:r>
      <w:r>
        <w:rPr>
          <w:rFonts w:hint="eastAsia" w:ascii="仿宋" w:hAnsi="仿宋" w:eastAsia="仿宋" w:cs="仿宋"/>
          <w:b w:val="0"/>
          <w:bCs w:val="0"/>
          <w:sz w:val="24"/>
          <w:szCs w:val="24"/>
          <w:u w:val="none"/>
          <w:lang w:val="en-US" w:eastAsia="zh-CN"/>
        </w:rPr>
        <w:t>晴隆</w:t>
      </w:r>
      <w:r>
        <w:rPr>
          <w:rFonts w:hint="eastAsia" w:ascii="仿宋" w:hAnsi="仿宋" w:eastAsia="仿宋" w:cs="仿宋"/>
          <w:sz w:val="24"/>
          <w:szCs w:val="24"/>
          <w:u w:val="none"/>
        </w:rPr>
        <w:t>县人民医院</w:t>
      </w:r>
      <w:r>
        <w:rPr>
          <w:rFonts w:hint="eastAsia" w:ascii="仿宋" w:hAnsi="仿宋" w:eastAsia="仿宋" w:cs="仿宋"/>
          <w:sz w:val="24"/>
          <w:szCs w:val="24"/>
          <w:u w:val="none"/>
          <w:lang w:eastAsia="zh-CN"/>
        </w:rPr>
        <w:t>体外循环耗材</w:t>
      </w:r>
      <w:r>
        <w:rPr>
          <w:rFonts w:hint="eastAsia" w:ascii="仿宋" w:hAnsi="仿宋" w:eastAsia="仿宋" w:cs="仿宋"/>
          <w:b w:val="0"/>
          <w:bCs w:val="0"/>
          <w:sz w:val="24"/>
          <w:szCs w:val="24"/>
          <w:u w:val="none"/>
        </w:rPr>
        <w:t>采购项目</w:t>
      </w:r>
      <w:r>
        <w:rPr>
          <w:rFonts w:hint="eastAsia" w:ascii="仿宋" w:hAnsi="仿宋" w:eastAsia="仿宋" w:cs="仿宋"/>
          <w:b w:val="0"/>
          <w:bCs w:val="0"/>
          <w:sz w:val="24"/>
          <w:szCs w:val="24"/>
        </w:rPr>
        <w:t>”中必须全部响应，另注明承诺的服务；</w:t>
      </w:r>
    </w:p>
    <w:p>
      <w:pPr>
        <w:spacing w:line="360" w:lineRule="auto"/>
        <w:ind w:left="210" w:leftChars="100"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2、报价方式：投标人根据本公司的实际情况和能力，在投标文件中报出自己的最低价格及承诺，投标供应商在</w:t>
      </w:r>
      <w:r>
        <w:rPr>
          <w:rFonts w:hint="eastAsia" w:ascii="仿宋" w:hAnsi="仿宋" w:eastAsia="仿宋" w:cs="仿宋"/>
          <w:sz w:val="24"/>
          <w:szCs w:val="24"/>
          <w:lang w:eastAsia="zh-CN"/>
        </w:rPr>
        <w:t>院内议标</w:t>
      </w:r>
      <w:r>
        <w:rPr>
          <w:rFonts w:hint="eastAsia" w:ascii="仿宋" w:hAnsi="仿宋" w:eastAsia="仿宋" w:cs="仿宋"/>
          <w:sz w:val="24"/>
          <w:szCs w:val="24"/>
        </w:rPr>
        <w:t>现场没有报价及承诺的机会</w:t>
      </w:r>
      <w:r>
        <w:rPr>
          <w:rFonts w:hint="eastAsia" w:ascii="仿宋" w:hAnsi="仿宋" w:eastAsia="仿宋" w:cs="仿宋"/>
          <w:b/>
          <w:bCs/>
          <w:sz w:val="24"/>
          <w:szCs w:val="24"/>
        </w:rPr>
        <w:t>；</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3、投标商应保证响应文件中所指的被授权人为合法代表人，并代表公司全权处理本次</w:t>
      </w:r>
      <w:r>
        <w:rPr>
          <w:rFonts w:hint="eastAsia" w:ascii="仿宋" w:hAnsi="仿宋" w:eastAsia="仿宋" w:cs="仿宋"/>
          <w:sz w:val="24"/>
          <w:szCs w:val="24"/>
          <w:lang w:eastAsia="zh-CN"/>
        </w:rPr>
        <w:t>院内议标</w:t>
      </w:r>
      <w:r>
        <w:rPr>
          <w:rFonts w:hint="eastAsia" w:ascii="仿宋" w:hAnsi="仿宋" w:eastAsia="仿宋" w:cs="仿宋"/>
          <w:sz w:val="24"/>
          <w:szCs w:val="24"/>
        </w:rPr>
        <w:t>项目的具体工作，不因授权人或授权的改变而失效。</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四、响应文件的编制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（一）响应文件的组成</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本</w:t>
      </w:r>
      <w:r>
        <w:rPr>
          <w:rFonts w:hint="eastAsia" w:ascii="仿宋" w:hAnsi="仿宋" w:eastAsia="仿宋" w:cs="仿宋"/>
          <w:sz w:val="24"/>
          <w:szCs w:val="24"/>
          <w:lang w:eastAsia="zh-CN"/>
        </w:rPr>
        <w:t>院内议标</w:t>
      </w:r>
      <w:r>
        <w:rPr>
          <w:rFonts w:hint="eastAsia" w:ascii="仿宋" w:hAnsi="仿宋" w:eastAsia="仿宋" w:cs="仿宋"/>
          <w:sz w:val="24"/>
          <w:szCs w:val="24"/>
        </w:rPr>
        <w:t>文件已提供格式的按此格式作表，没有提供格式的乙方自拟，响应文件格式不做为投标供应商无效投标依据。响应文件应包括以下内容：</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1、资质证明文件为：</w:t>
      </w:r>
    </w:p>
    <w:p>
      <w:pPr>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或“统一社会信用代码”的营业执照(正副本均可）复印件（加盖投标供应商公章）；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（2）法定代表人身份证明原件或法定代表人对投标供应商代表的授权书原件；</w:t>
      </w:r>
    </w:p>
    <w:p>
      <w:pPr>
        <w:snapToGrid w:val="0"/>
        <w:spacing w:line="440" w:lineRule="exact"/>
        <w:ind w:left="210" w:leftChars="100" w:firstLine="120" w:firstLineChars="50"/>
        <w:jc w:val="left"/>
        <w:rPr>
          <w:rFonts w:hint="eastAsia" w:ascii="仿宋" w:hAnsi="仿宋" w:eastAsia="仿宋" w:cs="仿宋"/>
          <w:sz w:val="24"/>
          <w:szCs w:val="24"/>
          <w:lang w:val="zh-CN"/>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2、商务文件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（1）供应商简介</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（2）投标函（见附件）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（3）法人代表授权书（见附件）</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（4）乙方需提交的相关技术说明</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（5）乙方认为需要提供的、需要表述自己的其他资料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（6）公司相关资质文件复印件（加盖投标供应商公章）、</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文件中要求的资质文件</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（二）响应文件的份数和签署</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1、乙方应按本</w:t>
      </w:r>
      <w:r>
        <w:rPr>
          <w:rFonts w:hint="eastAsia" w:ascii="仿宋" w:hAnsi="仿宋" w:eastAsia="仿宋" w:cs="仿宋"/>
          <w:sz w:val="24"/>
          <w:szCs w:val="24"/>
          <w:lang w:eastAsia="zh-CN"/>
        </w:rPr>
        <w:t>院内议标</w:t>
      </w:r>
      <w:r>
        <w:rPr>
          <w:rFonts w:hint="eastAsia" w:ascii="仿宋" w:hAnsi="仿宋" w:eastAsia="仿宋" w:cs="仿宋"/>
          <w:sz w:val="24"/>
          <w:szCs w:val="24"/>
        </w:rPr>
        <w:t>须知规定编制</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文件，要求如下：</w:t>
      </w:r>
      <w:r>
        <w:rPr>
          <w:rFonts w:hint="eastAsia" w:ascii="仿宋" w:hAnsi="仿宋" w:eastAsia="仿宋" w:cs="仿宋"/>
          <w:b/>
          <w:bCs/>
          <w:sz w:val="24"/>
          <w:szCs w:val="24"/>
        </w:rPr>
        <w:t>正本壹份、副本</w:t>
      </w:r>
      <w:r>
        <w:rPr>
          <w:rFonts w:hint="eastAsia" w:ascii="仿宋" w:hAnsi="仿宋" w:eastAsia="仿宋" w:cs="仿宋"/>
          <w:b/>
          <w:bCs/>
          <w:sz w:val="24"/>
          <w:szCs w:val="24"/>
          <w:lang w:val="en-US" w:eastAsia="zh-CN"/>
        </w:rPr>
        <w:t>贰</w:t>
      </w:r>
      <w:r>
        <w:rPr>
          <w:rFonts w:hint="eastAsia" w:ascii="仿宋" w:hAnsi="仿宋" w:eastAsia="仿宋" w:cs="仿宋"/>
          <w:b/>
          <w:bCs/>
          <w:sz w:val="24"/>
          <w:szCs w:val="24"/>
        </w:rPr>
        <w:t>份</w:t>
      </w:r>
      <w:r>
        <w:rPr>
          <w:rFonts w:hint="eastAsia" w:ascii="仿宋" w:hAnsi="仿宋" w:eastAsia="仿宋" w:cs="仿宋"/>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2、供应商应将“响应文件”胶粘装订成册，不用活页装订，并附目录及对应页码，文件内容采用A4纸（字号不作要求），字迹应清晰易于辨认，副本可以用正本的完整复印件，并在封面注明“正本”、“副本”字样。正本与副本如有不一致，则以正本为准</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3、供应商提供的响应文件正本、副本需加盖投标供应商公章</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4、除乙方对错误之处必须修改外，全套响应文件应无涂改、行间插字或增删，如有修改，修改处应有乙方的公章或法人代表授权签字人签字。</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32"/>
          <w:szCs w:val="32"/>
        </w:rPr>
      </w:pPr>
      <w:r>
        <w:rPr>
          <w:rFonts w:hint="eastAsia" w:ascii="仿宋" w:hAnsi="仿宋" w:eastAsia="仿宋" w:cs="仿宋"/>
          <w:b/>
          <w:sz w:val="32"/>
          <w:szCs w:val="32"/>
        </w:rPr>
        <w:t>五、响应文件的递交</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（一）响应文件的密封与标志（密封及标志仅供参考，不作为无效投标依据）</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1、响应文件的正本和副本应封装，并在封口处加盖公章</w:t>
      </w:r>
      <w:r>
        <w:rPr>
          <w:rFonts w:hint="eastAsia" w:ascii="仿宋" w:hAnsi="仿宋" w:eastAsia="仿宋" w:cs="仿宋"/>
          <w:b/>
          <w:bCs/>
          <w:sz w:val="24"/>
          <w:szCs w:val="24"/>
        </w:rPr>
        <w:t>；</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2、在密封条上应标明（并加盖公章）：</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（1）投标供应商名称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（2）采购项目名称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（3）投标项目编号</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于</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25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color w:val="FF0000"/>
          <w:sz w:val="24"/>
          <w:szCs w:val="24"/>
          <w:lang w:val="en-US" w:eastAsia="zh-CN"/>
        </w:rPr>
        <w:t>前</w:t>
      </w:r>
      <w:r>
        <w:rPr>
          <w:rFonts w:hint="eastAsia" w:ascii="仿宋" w:hAnsi="仿宋" w:eastAsia="仿宋" w:cs="仿宋"/>
          <w:b/>
          <w:bCs/>
          <w:sz w:val="24"/>
          <w:szCs w:val="24"/>
        </w:rPr>
        <w:t>不得开启</w:t>
      </w:r>
      <w:r>
        <w:rPr>
          <w:rFonts w:hint="eastAsia" w:ascii="仿宋" w:hAnsi="仿宋" w:eastAsia="仿宋" w:cs="仿宋"/>
          <w:sz w:val="24"/>
          <w:szCs w:val="24"/>
        </w:rPr>
        <w:t>”的字样</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（二）响应文件的递交</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1、响应文件必须由专人按照甲方注明的地址送达</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b/>
          <w:bCs/>
          <w:sz w:val="24"/>
          <w:szCs w:val="24"/>
        </w:rPr>
      </w:pPr>
      <w:r>
        <w:rPr>
          <w:rFonts w:hint="eastAsia" w:ascii="仿宋" w:hAnsi="仿宋" w:eastAsia="仿宋" w:cs="仿宋"/>
          <w:sz w:val="24"/>
          <w:szCs w:val="24"/>
        </w:rPr>
        <w:t>2、用特快专递、电话、传真形式送达响应文件的、概不接受</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3、甲方将拒绝接受在截至时间后递交的“响应文件”。</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24"/>
          <w:szCs w:val="24"/>
        </w:rPr>
      </w:pPr>
      <w:r>
        <w:rPr>
          <w:rFonts w:hint="eastAsia" w:ascii="仿宋" w:hAnsi="仿宋" w:eastAsia="仿宋" w:cs="仿宋"/>
          <w:b/>
          <w:sz w:val="32"/>
          <w:szCs w:val="32"/>
        </w:rPr>
        <w:t>六、</w:t>
      </w:r>
      <w:r>
        <w:rPr>
          <w:rFonts w:hint="eastAsia" w:ascii="仿宋" w:hAnsi="仿宋" w:eastAsia="仿宋" w:cs="仿宋"/>
          <w:b/>
          <w:sz w:val="32"/>
          <w:szCs w:val="32"/>
          <w:lang w:eastAsia="zh-CN"/>
        </w:rPr>
        <w:t>院内议标</w:t>
      </w:r>
      <w:r>
        <w:rPr>
          <w:rFonts w:hint="eastAsia" w:ascii="仿宋" w:hAnsi="仿宋" w:eastAsia="仿宋" w:cs="仿宋"/>
          <w:b/>
          <w:sz w:val="32"/>
          <w:szCs w:val="32"/>
        </w:rPr>
        <w:t>将在招标文件“采购邀请函”指定地点、时间召开，由</w:t>
      </w:r>
      <w:r>
        <w:rPr>
          <w:rFonts w:hint="eastAsia" w:ascii="仿宋" w:hAnsi="仿宋" w:eastAsia="仿宋" w:cs="仿宋"/>
          <w:b/>
          <w:bCs/>
          <w:sz w:val="32"/>
          <w:szCs w:val="32"/>
          <w:lang w:val="en-US" w:eastAsia="zh-CN"/>
        </w:rPr>
        <w:t>晴隆</w:t>
      </w:r>
      <w:r>
        <w:rPr>
          <w:rFonts w:hint="eastAsia" w:ascii="仿宋" w:hAnsi="仿宋" w:eastAsia="仿宋" w:cs="仿宋"/>
          <w:b/>
          <w:sz w:val="32"/>
          <w:szCs w:val="32"/>
        </w:rPr>
        <w:t>县人民医院主持，并接受有关部门现场监督</w:t>
      </w:r>
      <w:r>
        <w:rPr>
          <w:rFonts w:hint="eastAsia" w:ascii="仿宋" w:hAnsi="仿宋" w:eastAsia="仿宋" w:cs="仿宋"/>
          <w:b/>
          <w:sz w:val="24"/>
          <w:szCs w:val="24"/>
        </w:rPr>
        <w:t>。</w:t>
      </w:r>
    </w:p>
    <w:p>
      <w:pPr>
        <w:snapToGrid w:val="0"/>
        <w:spacing w:line="440" w:lineRule="exact"/>
        <w:ind w:left="10" w:firstLine="468" w:firstLineChars="19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1、参加</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的代表应签名报到，以证明其出席</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w:t>
      </w:r>
      <w:r>
        <w:rPr>
          <w:rFonts w:hint="eastAsia" w:ascii="仿宋" w:hAnsi="仿宋" w:eastAsia="仿宋" w:cs="仿宋"/>
          <w:b/>
          <w:bCs/>
          <w:color w:val="auto"/>
          <w:sz w:val="24"/>
          <w:szCs w:val="24"/>
        </w:rPr>
        <w:t>；</w:t>
      </w:r>
    </w:p>
    <w:p>
      <w:pPr>
        <w:snapToGrid w:val="0"/>
        <w:spacing w:line="440" w:lineRule="exact"/>
        <w:ind w:left="10" w:firstLine="468" w:firstLineChars="195"/>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会议开始，</w:t>
      </w:r>
      <w:r>
        <w:rPr>
          <w:rFonts w:hint="eastAsia" w:ascii="仿宋" w:hAnsi="仿宋" w:eastAsia="仿宋" w:cs="仿宋"/>
          <w:b w:val="0"/>
          <w:bCs w:val="0"/>
          <w:sz w:val="24"/>
          <w:szCs w:val="24"/>
          <w:lang w:val="en-US" w:eastAsia="zh-CN"/>
        </w:rPr>
        <w:t>晴隆</w:t>
      </w:r>
      <w:r>
        <w:rPr>
          <w:rFonts w:hint="eastAsia" w:ascii="仿宋" w:hAnsi="仿宋" w:eastAsia="仿宋" w:cs="仿宋"/>
          <w:color w:val="auto"/>
          <w:sz w:val="24"/>
          <w:szCs w:val="24"/>
        </w:rPr>
        <w:t>县人民医院将截止时间前收到的所有</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文件，确认无误后当众拆封。</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的主要内容为</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内容，以及乙方认为合适的应书面表达的其他内容</w:t>
      </w:r>
      <w:r>
        <w:rPr>
          <w:rFonts w:hint="eastAsia" w:ascii="仿宋" w:hAnsi="仿宋" w:eastAsia="仿宋" w:cs="仿宋"/>
          <w:b/>
          <w:bCs/>
          <w:color w:val="auto"/>
          <w:sz w:val="24"/>
          <w:szCs w:val="24"/>
        </w:rPr>
        <w:t>；</w:t>
      </w:r>
    </w:p>
    <w:p>
      <w:pPr>
        <w:snapToGrid w:val="0"/>
        <w:spacing w:line="440" w:lineRule="exact"/>
        <w:jc w:val="left"/>
        <w:rPr>
          <w:rFonts w:hint="eastAsia" w:ascii="仿宋" w:hAnsi="仿宋" w:eastAsia="仿宋" w:cs="仿宋"/>
          <w:b/>
          <w:color w:val="auto"/>
          <w:sz w:val="32"/>
          <w:szCs w:val="32"/>
        </w:rPr>
      </w:pPr>
    </w:p>
    <w:p>
      <w:pPr>
        <w:snapToGrid w:val="0"/>
        <w:spacing w:line="440" w:lineRule="exact"/>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七、</w:t>
      </w:r>
      <w:r>
        <w:rPr>
          <w:rFonts w:hint="eastAsia" w:ascii="仿宋" w:hAnsi="仿宋" w:eastAsia="仿宋" w:cs="仿宋"/>
          <w:b/>
          <w:color w:val="auto"/>
          <w:sz w:val="32"/>
          <w:szCs w:val="32"/>
          <w:lang w:val="en-US" w:eastAsia="zh-CN"/>
        </w:rPr>
        <w:t>议</w:t>
      </w:r>
      <w:r>
        <w:rPr>
          <w:rFonts w:hint="eastAsia" w:ascii="仿宋" w:hAnsi="仿宋" w:eastAsia="仿宋" w:cs="仿宋"/>
          <w:b/>
          <w:color w:val="auto"/>
          <w:sz w:val="32"/>
          <w:szCs w:val="32"/>
        </w:rPr>
        <w:t>标</w:t>
      </w:r>
      <w:r>
        <w:rPr>
          <w:rFonts w:hint="eastAsia" w:ascii="仿宋" w:hAnsi="仿宋" w:eastAsia="仿宋" w:cs="仿宋"/>
          <w:b/>
          <w:color w:val="auto"/>
          <w:sz w:val="32"/>
          <w:szCs w:val="32"/>
          <w:lang w:val="en-US" w:eastAsia="zh-CN"/>
        </w:rPr>
        <w:t>方法</w:t>
      </w:r>
    </w:p>
    <w:p>
      <w:pPr>
        <w:spacing w:line="400" w:lineRule="exact"/>
        <w:rPr>
          <w:rFonts w:hint="eastAsia" w:ascii="宋体" w:hAnsi="宋体" w:eastAsia="宋体" w:cs="宋体"/>
          <w:b/>
          <w:color w:val="auto"/>
          <w:szCs w:val="21"/>
        </w:rPr>
      </w:pP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1、院内议标项目需二次谈判</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2、</w:t>
      </w: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资格审查、现场谈判的形式进行，谈判过程中各投标供应商须提供所投产品的厂家授权或省级代理商授权</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现场报价、产品质量、服务承诺为依据、评定出名次，按排名先后选定1家作为本次采购目录的供应商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napToGrid w:val="0"/>
        <w:spacing w:line="44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、会议程序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会议采用保密方式进行，由</w:t>
      </w:r>
      <w:r>
        <w:rPr>
          <w:rFonts w:hint="eastAsia" w:ascii="仿宋" w:hAnsi="仿宋" w:eastAsia="仿宋" w:cs="仿宋"/>
          <w:sz w:val="24"/>
          <w:szCs w:val="24"/>
          <w:lang w:eastAsia="zh-CN"/>
        </w:rPr>
        <w:t>院内议标</w:t>
      </w:r>
      <w:r>
        <w:rPr>
          <w:rFonts w:hint="eastAsia" w:ascii="仿宋" w:hAnsi="仿宋" w:eastAsia="仿宋" w:cs="仿宋"/>
          <w:sz w:val="24"/>
          <w:szCs w:val="24"/>
        </w:rPr>
        <w:t>小组负责。如</w:t>
      </w:r>
      <w:r>
        <w:rPr>
          <w:rFonts w:hint="eastAsia" w:ascii="仿宋" w:hAnsi="仿宋" w:eastAsia="仿宋" w:cs="仿宋"/>
          <w:sz w:val="24"/>
          <w:szCs w:val="24"/>
          <w:lang w:eastAsia="zh-CN"/>
        </w:rPr>
        <w:t>院内议标</w:t>
      </w:r>
      <w:r>
        <w:rPr>
          <w:rFonts w:hint="eastAsia" w:ascii="仿宋" w:hAnsi="仿宋" w:eastAsia="仿宋" w:cs="仿宋"/>
          <w:sz w:val="24"/>
          <w:szCs w:val="24"/>
        </w:rPr>
        <w:t>文件有实质性变动，</w:t>
      </w:r>
      <w:r>
        <w:rPr>
          <w:rFonts w:hint="eastAsia" w:ascii="仿宋" w:hAnsi="仿宋" w:eastAsia="仿宋" w:cs="仿宋"/>
          <w:sz w:val="24"/>
          <w:szCs w:val="24"/>
          <w:lang w:eastAsia="zh-CN"/>
        </w:rPr>
        <w:t>院内议标</w:t>
      </w:r>
      <w:r>
        <w:rPr>
          <w:rFonts w:hint="eastAsia" w:ascii="仿宋" w:hAnsi="仿宋" w:eastAsia="仿宋" w:cs="仿宋"/>
          <w:sz w:val="24"/>
          <w:szCs w:val="24"/>
        </w:rPr>
        <w:t>小组应以书面形式通知所有参加投标的供应商</w:t>
      </w:r>
      <w:r>
        <w:rPr>
          <w:rFonts w:hint="eastAsia" w:ascii="仿宋" w:hAnsi="仿宋" w:eastAsia="仿宋" w:cs="仿宋"/>
          <w:b/>
          <w:bCs/>
          <w:sz w:val="24"/>
          <w:szCs w:val="24"/>
        </w:rPr>
        <w:t>；</w:t>
      </w:r>
    </w:p>
    <w:p>
      <w:pPr>
        <w:snapToGrid w:val="0"/>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（1）由监督组对投标供应商代表进行身份验证，验证内容详见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文件《第二章：前附表及供应商须知》第6条；</w:t>
      </w:r>
    </w:p>
    <w:p>
      <w:pPr>
        <w:snapToGrid w:val="0"/>
        <w:spacing w:line="440" w:lineRule="exact"/>
        <w:ind w:firstLine="420"/>
        <w:jc w:val="left"/>
        <w:rPr>
          <w:rFonts w:hint="eastAsia" w:ascii="仿宋" w:hAnsi="仿宋" w:eastAsia="仿宋" w:cs="仿宋"/>
          <w:sz w:val="24"/>
          <w:szCs w:val="24"/>
        </w:rPr>
      </w:pPr>
      <w:r>
        <w:rPr>
          <w:rFonts w:hint="eastAsia" w:ascii="仿宋" w:hAnsi="仿宋" w:eastAsia="仿宋" w:cs="仿宋"/>
          <w:sz w:val="24"/>
          <w:szCs w:val="24"/>
        </w:rPr>
        <w:t>（2）专家独立评审环节（投标供应商回避）：a.由专家组对投标供应商进行资质审查（详见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文件《第二章：前附表及供应商须知》第7条），符合资质要求的投标供应商达到三家及以上的方可进入投标供应商响应文件的评审环节。b.专家组将确定每份符合资质要求的响应文件是否对</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文件的要求做出了实质性的响应，专家组根据下表项目内容</w:t>
      </w:r>
      <w:r>
        <w:rPr>
          <w:rFonts w:hint="eastAsia" w:ascii="仿宋" w:hAnsi="仿宋" w:eastAsia="仿宋" w:cs="仿宋"/>
          <w:sz w:val="24"/>
          <w:szCs w:val="24"/>
          <w:lang w:eastAsia="zh-CN"/>
        </w:rPr>
        <w:t>院内议标</w:t>
      </w:r>
      <w:r>
        <w:rPr>
          <w:rFonts w:hint="eastAsia" w:ascii="仿宋" w:hAnsi="仿宋" w:eastAsia="仿宋" w:cs="仿宋"/>
          <w:sz w:val="24"/>
          <w:szCs w:val="24"/>
        </w:rPr>
        <w:t>响应情况进行评审，响应文件对</w:t>
      </w:r>
      <w:r>
        <w:rPr>
          <w:rFonts w:hint="eastAsia" w:ascii="仿宋" w:hAnsi="仿宋" w:eastAsia="仿宋" w:cs="仿宋"/>
          <w:sz w:val="24"/>
          <w:szCs w:val="24"/>
          <w:lang w:eastAsia="zh-CN"/>
        </w:rPr>
        <w:t>院内议标</w:t>
      </w:r>
      <w:r>
        <w:rPr>
          <w:rFonts w:hint="eastAsia" w:ascii="仿宋" w:hAnsi="仿宋" w:eastAsia="仿宋" w:cs="仿宋"/>
          <w:sz w:val="24"/>
          <w:szCs w:val="24"/>
        </w:rPr>
        <w:t>文件做出实质性响应达到三家及以上的方可进入投标</w:t>
      </w:r>
      <w:r>
        <w:rPr>
          <w:rFonts w:hint="eastAsia" w:ascii="仿宋" w:hAnsi="仿宋" w:eastAsia="仿宋" w:cs="仿宋"/>
          <w:sz w:val="24"/>
          <w:szCs w:val="24"/>
          <w:lang w:eastAsia="zh-CN"/>
        </w:rPr>
        <w:t>院内议标</w:t>
      </w:r>
      <w:r>
        <w:rPr>
          <w:rFonts w:hint="eastAsia" w:ascii="仿宋" w:hAnsi="仿宋" w:eastAsia="仿宋" w:cs="仿宋"/>
          <w:sz w:val="24"/>
          <w:szCs w:val="24"/>
        </w:rPr>
        <w:t>会议环节：</w:t>
      </w:r>
    </w:p>
    <w:tbl>
      <w:tblPr>
        <w:tblStyle w:val="11"/>
        <w:tblpPr w:leftFromText="180" w:rightFromText="180" w:vertAnchor="text" w:horzAnchor="page" w:tblpX="1567"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73"/>
        <w:gridCol w:w="3852"/>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内容</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：要求所有参加投标的供应商在投标文件中做出</w:t>
      </w:r>
      <w:r>
        <w:rPr>
          <w:rFonts w:hint="eastAsia" w:ascii="仿宋" w:hAnsi="仿宋" w:eastAsia="仿宋" w:cs="仿宋"/>
          <w:sz w:val="24"/>
          <w:szCs w:val="24"/>
          <w:lang w:val="en-US" w:eastAsia="zh-CN"/>
        </w:rPr>
        <w:t>第一次报价</w:t>
      </w:r>
      <w:r>
        <w:rPr>
          <w:rFonts w:hint="eastAsia" w:ascii="仿宋" w:hAnsi="仿宋" w:eastAsia="仿宋" w:cs="仿宋"/>
          <w:sz w:val="24"/>
          <w:szCs w:val="24"/>
        </w:rPr>
        <w:t>。乙方不得相互串通报价情况，不得排挤其他供应商的公平竞争，损害甲方或者其他供应商的合法权益。</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（4）根据</w:t>
      </w:r>
      <w:r>
        <w:rPr>
          <w:rFonts w:hint="eastAsia" w:ascii="仿宋" w:hAnsi="仿宋" w:eastAsia="仿宋" w:cs="仿宋"/>
          <w:bCs/>
          <w:sz w:val="24"/>
          <w:szCs w:val="24"/>
          <w:lang w:eastAsia="zh-CN"/>
        </w:rPr>
        <w:t>院内议标</w:t>
      </w:r>
      <w:r>
        <w:rPr>
          <w:rFonts w:hint="eastAsia" w:ascii="仿宋" w:hAnsi="仿宋" w:eastAsia="仿宋" w:cs="仿宋"/>
          <w:bCs/>
          <w:sz w:val="24"/>
          <w:szCs w:val="24"/>
        </w:rPr>
        <w:t>文件、供应商报价文件评审，从技术和商务要求均能满足采购文件实质性响应要求的供应商中，按照</w:t>
      </w:r>
      <w:r>
        <w:rPr>
          <w:rFonts w:hint="eastAsia" w:ascii="仿宋" w:hAnsi="仿宋" w:eastAsia="仿宋" w:cs="仿宋"/>
          <w:bCs/>
          <w:sz w:val="24"/>
          <w:szCs w:val="24"/>
          <w:lang w:val="en-US" w:eastAsia="zh-CN"/>
        </w:rPr>
        <w:t>议标专家组的评分由高到低</w:t>
      </w:r>
      <w:r>
        <w:rPr>
          <w:rFonts w:hint="eastAsia" w:ascii="仿宋" w:hAnsi="仿宋" w:eastAsia="仿宋" w:cs="仿宋"/>
          <w:bCs/>
          <w:sz w:val="24"/>
          <w:szCs w:val="24"/>
        </w:rPr>
        <w:t>推荐成交候选人，在价格相同时，按</w:t>
      </w:r>
      <w:r>
        <w:rPr>
          <w:rFonts w:hint="eastAsia" w:ascii="仿宋" w:hAnsi="仿宋" w:eastAsia="仿宋" w:cs="仿宋"/>
          <w:bCs/>
          <w:sz w:val="24"/>
          <w:szCs w:val="24"/>
          <w:lang w:val="en-US" w:eastAsia="zh-CN"/>
        </w:rPr>
        <w:t>现场服务承诺及产品市场分部及质量</w:t>
      </w:r>
      <w:r>
        <w:rPr>
          <w:rFonts w:hint="eastAsia" w:ascii="仿宋" w:hAnsi="仿宋" w:eastAsia="仿宋" w:cs="仿宋"/>
          <w:bCs/>
          <w:sz w:val="24"/>
          <w:szCs w:val="24"/>
        </w:rPr>
        <w:t>顺序优先选择满足条件的供应商为成交候选人，如投标人同时满足以下多项条件选择满足最多条件供应商为成交候选人：</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成交人确定后，不需向其他供应商解释。</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、评标工作</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根据医院</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项目的安排，</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小组由有医院有关科人员</w:t>
      </w: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名组成，按本次</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文件规定的办法评标，评标工作将接受医院审记或纪检部门的监督。</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、评标过程的保密</w:t>
      </w:r>
    </w:p>
    <w:p>
      <w:pPr>
        <w:spacing w:line="360" w:lineRule="auto"/>
        <w:ind w:left="10" w:firstLine="348" w:firstLineChars="14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工作结束后，凡属于对</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文件的审查、澄清、评价和比较的有关资料及与评标有关的其他任何情况均应严格保密</w:t>
      </w:r>
      <w:r>
        <w:rPr>
          <w:rFonts w:hint="eastAsia" w:ascii="仿宋" w:hAnsi="仿宋" w:eastAsia="仿宋" w:cs="仿宋"/>
          <w:b/>
          <w:bCs/>
          <w:color w:val="auto"/>
          <w:sz w:val="24"/>
          <w:szCs w:val="24"/>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（2）在评标期间，乙方不得向评委询问评标情况，不得进行影响评标结果的活动</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（3）为保证评标的公正性，在评标过程中，</w:t>
      </w:r>
      <w:r>
        <w:rPr>
          <w:rFonts w:hint="eastAsia" w:ascii="仿宋" w:hAnsi="仿宋" w:eastAsia="仿宋" w:cs="仿宋"/>
          <w:sz w:val="24"/>
          <w:szCs w:val="24"/>
          <w:lang w:eastAsia="zh-CN"/>
        </w:rPr>
        <w:t>院内议标</w:t>
      </w:r>
      <w:r>
        <w:rPr>
          <w:rFonts w:hint="eastAsia" w:ascii="仿宋" w:hAnsi="仿宋" w:eastAsia="仿宋" w:cs="仿宋"/>
          <w:sz w:val="24"/>
          <w:szCs w:val="24"/>
        </w:rPr>
        <w:t>小组中任何成员不得与乙方私下交换意见。</w:t>
      </w:r>
    </w:p>
    <w:p>
      <w:pPr>
        <w:spacing w:line="360" w:lineRule="auto"/>
        <w:ind w:left="10" w:firstLine="348" w:firstLineChars="145"/>
        <w:jc w:val="left"/>
        <w:rPr>
          <w:rFonts w:hint="eastAsia" w:ascii="仿宋" w:hAnsi="仿宋" w:eastAsia="仿宋" w:cs="仿宋"/>
          <w:b/>
          <w:bCs/>
          <w:sz w:val="24"/>
          <w:szCs w:val="24"/>
        </w:rPr>
      </w:pPr>
      <w:r>
        <w:rPr>
          <w:rFonts w:hint="eastAsia" w:ascii="仿宋" w:hAnsi="仿宋" w:eastAsia="仿宋" w:cs="仿宋"/>
          <w:sz w:val="24"/>
          <w:szCs w:val="24"/>
        </w:rPr>
        <w:t>（4）在响应文件的评审和比较、成交供应商的确定以及授予合同的过程中，乙方如有试图向甲方施加影响公正的任何行为，都将会导致其本次</w:t>
      </w:r>
      <w:r>
        <w:rPr>
          <w:rFonts w:hint="eastAsia" w:ascii="仿宋" w:hAnsi="仿宋" w:eastAsia="仿宋" w:cs="仿宋"/>
          <w:sz w:val="24"/>
          <w:szCs w:val="24"/>
          <w:lang w:eastAsia="zh-CN"/>
        </w:rPr>
        <w:t>院内议标</w:t>
      </w:r>
      <w:r>
        <w:rPr>
          <w:rFonts w:hint="eastAsia" w:ascii="仿宋" w:hAnsi="仿宋" w:eastAsia="仿宋" w:cs="仿宋"/>
          <w:sz w:val="24"/>
          <w:szCs w:val="24"/>
        </w:rPr>
        <w:t>被拒绝</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（5）最终以发放成交通知书、授予合同为准，</w:t>
      </w:r>
      <w:r>
        <w:rPr>
          <w:rFonts w:hint="eastAsia" w:ascii="仿宋" w:hAnsi="仿宋" w:eastAsia="仿宋" w:cs="仿宋"/>
          <w:sz w:val="24"/>
          <w:szCs w:val="24"/>
          <w:lang w:eastAsia="zh-CN"/>
        </w:rPr>
        <w:t>晴隆</w:t>
      </w:r>
      <w:r>
        <w:rPr>
          <w:rFonts w:hint="eastAsia" w:ascii="仿宋" w:hAnsi="仿宋" w:eastAsia="仿宋" w:cs="仿宋"/>
          <w:sz w:val="24"/>
          <w:szCs w:val="24"/>
        </w:rPr>
        <w:t>县人民医院不对成交供应商就</w:t>
      </w:r>
      <w:r>
        <w:rPr>
          <w:rFonts w:hint="eastAsia" w:ascii="仿宋" w:hAnsi="仿宋" w:eastAsia="仿宋" w:cs="仿宋"/>
          <w:sz w:val="24"/>
          <w:szCs w:val="24"/>
          <w:lang w:eastAsia="zh-CN"/>
        </w:rPr>
        <w:t>院内议标</w:t>
      </w:r>
      <w:r>
        <w:rPr>
          <w:rFonts w:hint="eastAsia" w:ascii="仿宋" w:hAnsi="仿宋" w:eastAsia="仿宋" w:cs="仿宋"/>
          <w:sz w:val="24"/>
          <w:szCs w:val="24"/>
        </w:rPr>
        <w:t>过程情况以及未能成交原因作任何解释。未成交的供应商不得向</w:t>
      </w:r>
      <w:r>
        <w:rPr>
          <w:rFonts w:hint="eastAsia" w:ascii="仿宋" w:hAnsi="仿宋" w:eastAsia="仿宋" w:cs="仿宋"/>
          <w:sz w:val="24"/>
          <w:szCs w:val="24"/>
          <w:lang w:eastAsia="zh-CN"/>
        </w:rPr>
        <w:t>院内议标</w:t>
      </w:r>
      <w:r>
        <w:rPr>
          <w:rFonts w:hint="eastAsia" w:ascii="仿宋" w:hAnsi="仿宋" w:eastAsia="仿宋" w:cs="仿宋"/>
          <w:sz w:val="24"/>
          <w:szCs w:val="24"/>
        </w:rPr>
        <w:t>小组或其他有关人员获取</w:t>
      </w:r>
      <w:r>
        <w:rPr>
          <w:rFonts w:hint="eastAsia" w:ascii="仿宋" w:hAnsi="仿宋" w:eastAsia="仿宋" w:cs="仿宋"/>
          <w:sz w:val="24"/>
          <w:szCs w:val="24"/>
          <w:lang w:eastAsia="zh-CN"/>
        </w:rPr>
        <w:t>院内议标</w:t>
      </w:r>
      <w:r>
        <w:rPr>
          <w:rFonts w:hint="eastAsia" w:ascii="仿宋" w:hAnsi="仿宋" w:eastAsia="仿宋" w:cs="仿宋"/>
          <w:sz w:val="24"/>
          <w:szCs w:val="24"/>
        </w:rPr>
        <w:t>过程的情况和材料。</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八、投标供应商不符合以下要求其中之一的将有可能被取消其投标资格</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1、响应文件未按本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文件要求按时送达的；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2、供应商法定代表人或委托代理人未按本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文件规定时间参加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3、未按</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文件中资格验证要求提供原件或复印件的。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4、供应商参会代表按本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文件规定应出示的证件不全或证件无效的；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5、投标函无供应商公章、法定代表人或其法定授权代表的印章或签字的，或响应文件的签字人无法定 代表人有效授权书的；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6、供应商在涂改处未加盖供应商公章和法定代表人或其授权委托人签字的；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7、供应商提交两份（含两份）以上内容不同的响应文件未说明哪一个有效，或者在一份响应文件中对同一</w:t>
      </w:r>
      <w:r>
        <w:rPr>
          <w:rFonts w:hint="eastAsia" w:ascii="仿宋" w:hAnsi="仿宋" w:eastAsia="仿宋" w:cs="仿宋"/>
          <w:sz w:val="24"/>
          <w:szCs w:val="24"/>
          <w:lang w:eastAsia="zh-CN"/>
        </w:rPr>
        <w:t>院内议标</w:t>
      </w:r>
      <w:r>
        <w:rPr>
          <w:rFonts w:hint="eastAsia" w:ascii="仿宋" w:hAnsi="仿宋" w:eastAsia="仿宋" w:cs="仿宋"/>
          <w:sz w:val="24"/>
          <w:szCs w:val="24"/>
        </w:rPr>
        <w:t>项目有两个（含两个）以上报价未说明哪一个有效的；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8、供应商以他人名义投标、串通投标、以行贿手段谋取成交或以虚假资料投标的。</w:t>
      </w:r>
    </w:p>
    <w:p>
      <w:pPr>
        <w:spacing w:line="360" w:lineRule="auto"/>
        <w:ind w:firstLine="643" w:firstLineChars="200"/>
        <w:jc w:val="left"/>
        <w:rPr>
          <w:rFonts w:hint="eastAsia" w:ascii="仿宋" w:hAnsi="仿宋" w:eastAsia="仿宋" w:cs="仿宋"/>
          <w:b/>
          <w:sz w:val="32"/>
          <w:szCs w:val="32"/>
          <w:lang w:val="en-US" w:eastAsia="zh-CN"/>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九、 废标条款</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院内议标</w:t>
      </w:r>
      <w:r>
        <w:rPr>
          <w:rFonts w:hint="eastAsia" w:ascii="仿宋" w:hAnsi="仿宋" w:eastAsia="仿宋" w:cs="仿宋"/>
          <w:sz w:val="24"/>
          <w:szCs w:val="24"/>
        </w:rPr>
        <w:t>采购中，出现下列情形之一的，应予废标：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1、符合专业条件的供应商或者对</w:t>
      </w:r>
      <w:r>
        <w:rPr>
          <w:rFonts w:hint="eastAsia" w:ascii="仿宋" w:hAnsi="仿宋" w:eastAsia="仿宋" w:cs="仿宋"/>
          <w:sz w:val="24"/>
          <w:szCs w:val="24"/>
          <w:lang w:eastAsia="zh-CN"/>
        </w:rPr>
        <w:t>院内议标</w:t>
      </w:r>
      <w:r>
        <w:rPr>
          <w:rFonts w:hint="eastAsia" w:ascii="仿宋" w:hAnsi="仿宋" w:eastAsia="仿宋" w:cs="仿宋"/>
          <w:sz w:val="24"/>
          <w:szCs w:val="24"/>
        </w:rPr>
        <w:t>文件作实质响应的供应商不足三家的；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3、成交供应商拒绝签订采购合同的（且拒绝签订府采购合同的成交供应商不得参加对本项目的重新开展的采购活动）；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4、因重大变故，采购任务取消的</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5、废标后，</w:t>
      </w:r>
      <w:r>
        <w:rPr>
          <w:rFonts w:hint="eastAsia" w:ascii="仿宋" w:hAnsi="仿宋" w:eastAsia="仿宋" w:cs="仿宋"/>
          <w:sz w:val="24"/>
          <w:szCs w:val="24"/>
          <w:lang w:eastAsia="zh-CN"/>
        </w:rPr>
        <w:t>晴隆</w:t>
      </w:r>
      <w:r>
        <w:rPr>
          <w:rFonts w:hint="eastAsia" w:ascii="仿宋" w:hAnsi="仿宋" w:eastAsia="仿宋" w:cs="仿宋"/>
          <w:sz w:val="24"/>
          <w:szCs w:val="24"/>
        </w:rPr>
        <w:t>县人民医院应当将废标理由通知所有供应商。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6、未按材质标准提供货物的。</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十、响应文件的澄清与补充</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院内议标</w:t>
      </w:r>
      <w:r>
        <w:rPr>
          <w:rFonts w:hint="eastAsia" w:ascii="仿宋" w:hAnsi="仿宋" w:eastAsia="仿宋" w:cs="仿宋"/>
          <w:sz w:val="24"/>
          <w:szCs w:val="24"/>
        </w:rPr>
        <w:t>采购会议开始后，为了有助于对响应文件的审查、质疑、评估和比较，</w:t>
      </w:r>
      <w:r>
        <w:rPr>
          <w:rFonts w:hint="eastAsia" w:ascii="仿宋" w:hAnsi="仿宋" w:eastAsia="仿宋" w:cs="仿宋"/>
          <w:sz w:val="24"/>
          <w:szCs w:val="24"/>
          <w:lang w:eastAsia="zh-CN"/>
        </w:rPr>
        <w:t>院内议标</w:t>
      </w:r>
      <w:r>
        <w:rPr>
          <w:rFonts w:hint="eastAsia" w:ascii="仿宋" w:hAnsi="仿宋" w:eastAsia="仿宋" w:cs="仿宋"/>
          <w:sz w:val="24"/>
          <w:szCs w:val="24"/>
        </w:rPr>
        <w:t>小组可以要求乙方澄清其响应文件中含糊不清的问题，并可对响应文件中的问题向乙方进行询问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会议的乙方必须按采购人通知的时间、地点，由法人代表或委托代理人进行解答或澄清</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采购中涉及与原响应文件中的服务承诺及价格的变更，最后要以书面形式递交采购方（由投标单位法人代表或委托代理人签字认可）。</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十一、响应文件的审查与响应性的确定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在详细评审之前，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小组将首先审查每份响应文件的完整性：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1、法定代表或其授权委托人是否正确签署；</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2、采购方将组织审查各投标供应商响应文件是否完整；是否有计算错误；文件是否恰当地签署</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3、在对“响应文件”进行详细评估前，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小组将依据乙方提供的“资格证明文件”审查乙方的服务能力</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院内议标</w:t>
      </w:r>
      <w:r>
        <w:rPr>
          <w:rFonts w:hint="eastAsia" w:ascii="仿宋" w:hAnsi="仿宋" w:eastAsia="仿宋" w:cs="仿宋"/>
          <w:sz w:val="24"/>
          <w:szCs w:val="24"/>
        </w:rPr>
        <w:t>小组将确定每份响应文件是否对甲方的要求做出了实质性的响应。</w:t>
      </w:r>
    </w:p>
    <w:p>
      <w:pPr>
        <w:spacing w:line="360" w:lineRule="auto"/>
        <w:ind w:firstLine="640" w:firstLineChars="200"/>
        <w:jc w:val="left"/>
        <w:rPr>
          <w:rFonts w:hint="eastAsia" w:ascii="仿宋" w:hAnsi="仿宋" w:eastAsia="仿宋" w:cs="仿宋"/>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十二、成交通知书</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县人民医院在评标报告确定的中标候选人名单中按顺序确定中标人。中标候选人并列的，由采购人或者采购人委托评标小组按照招标文件规定的方式确定中标人；招标文件未规定的，采取随机抽取的方式确定。</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本次采购结果在确定成交供应商后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个工作日内（节假日顺延）由</w:t>
      </w:r>
      <w:r>
        <w:rPr>
          <w:rFonts w:hint="eastAsia" w:ascii="仿宋" w:hAnsi="仿宋" w:eastAsia="仿宋" w:cs="仿宋"/>
          <w:color w:val="auto"/>
          <w:sz w:val="24"/>
          <w:szCs w:val="24"/>
          <w:lang w:eastAsia="zh-CN"/>
        </w:rPr>
        <w:t>晴隆</w:t>
      </w:r>
      <w:r>
        <w:rPr>
          <w:rFonts w:hint="eastAsia" w:ascii="仿宋" w:hAnsi="仿宋" w:eastAsia="仿宋" w:cs="仿宋"/>
          <w:color w:val="auto"/>
          <w:sz w:val="24"/>
          <w:szCs w:val="24"/>
        </w:rPr>
        <w:t>县人民医院在医院网站或医院院内公示栏内发布成交结果，公示期为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个工作日，同时向成交供应商发出《成交通知书》。</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十三、合同的授予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（一）成交供应商的确定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甲方根据在</w:t>
      </w:r>
      <w:r>
        <w:rPr>
          <w:rFonts w:hint="eastAsia" w:ascii="仿宋" w:hAnsi="仿宋" w:eastAsia="仿宋" w:cs="仿宋"/>
          <w:sz w:val="24"/>
          <w:szCs w:val="24"/>
          <w:lang w:eastAsia="zh-CN"/>
        </w:rPr>
        <w:t>院内议标</w:t>
      </w:r>
      <w:r>
        <w:rPr>
          <w:rFonts w:hint="eastAsia" w:ascii="仿宋" w:hAnsi="仿宋" w:eastAsia="仿宋" w:cs="仿宋"/>
          <w:sz w:val="24"/>
          <w:szCs w:val="24"/>
        </w:rPr>
        <w:t>中报价最低且全部响应</w:t>
      </w:r>
      <w:r>
        <w:rPr>
          <w:rFonts w:hint="eastAsia" w:ascii="仿宋" w:hAnsi="仿宋" w:eastAsia="仿宋" w:cs="仿宋"/>
          <w:sz w:val="24"/>
          <w:szCs w:val="24"/>
          <w:lang w:eastAsia="zh-CN"/>
        </w:rPr>
        <w:t>院内议标</w:t>
      </w:r>
      <w:r>
        <w:rPr>
          <w:rFonts w:hint="eastAsia" w:ascii="仿宋" w:hAnsi="仿宋" w:eastAsia="仿宋" w:cs="仿宋"/>
          <w:sz w:val="24"/>
          <w:szCs w:val="24"/>
        </w:rPr>
        <w:t>文件的供应商，由</w:t>
      </w:r>
      <w:r>
        <w:rPr>
          <w:rFonts w:hint="eastAsia" w:ascii="仿宋" w:hAnsi="仿宋" w:eastAsia="仿宋" w:cs="仿宋"/>
          <w:sz w:val="24"/>
          <w:szCs w:val="24"/>
          <w:lang w:eastAsia="zh-CN"/>
        </w:rPr>
        <w:t>院内议标</w:t>
      </w:r>
      <w:r>
        <w:rPr>
          <w:rFonts w:hint="eastAsia" w:ascii="仿宋" w:hAnsi="仿宋" w:eastAsia="仿宋" w:cs="仿宋"/>
          <w:sz w:val="24"/>
          <w:szCs w:val="24"/>
        </w:rPr>
        <w:t>小组推荐为预成交供应商。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（二）有关合同中的结算单位确定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持有《成交通知书》的供应商，为本次采购合同的授予供应商。</w:t>
      </w:r>
      <w:r>
        <w:rPr>
          <w:rFonts w:hint="eastAsia" w:ascii="仿宋" w:hAnsi="仿宋" w:eastAsia="仿宋" w:cs="仿宋"/>
          <w:sz w:val="24"/>
          <w:szCs w:val="24"/>
          <w:lang w:eastAsia="zh-CN"/>
        </w:rPr>
        <w:t>院内议标</w:t>
      </w:r>
      <w:r>
        <w:rPr>
          <w:rFonts w:hint="eastAsia" w:ascii="仿宋" w:hAnsi="仿宋" w:eastAsia="仿宋" w:cs="仿宋"/>
          <w:sz w:val="24"/>
          <w:szCs w:val="24"/>
        </w:rPr>
        <w:t xml:space="preserve">的最终价格应为最终成交价。结算单位为人民币“元”。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（三）合同的签订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1、在《成交通知书》发出后，甲方将与成交供应商收到成交通知书7日内签订合同，超出7日未签合同，甲方将不予退还成交供应商此次保证金，因甲方原因除外。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文件与成交供应商的响应文件以等，均为签订合同的依据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3、合同中应包括以下内容：价格、供应货物时间、承诺的服务条款、结算方式、甲方的权利和义务、乙方的权利和义务等等。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（四）合同的履行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签订的合同对甲方（采购人）和乙方（成交供应商）均具有法律效力。甲方改变成交结果或者成交供应商放弃成交都应承担法律责任。成交供应商应当按照合同履行权利和义务，不得向其他未成交供应商转让成交项目，也不得将成交项目肢解后分别向其他供应商转让。</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numPr>
          <w:ilvl w:val="0"/>
          <w:numId w:val="2"/>
        </w:numPr>
        <w:spacing w:line="360" w:lineRule="auto"/>
        <w:jc w:val="center"/>
        <w:rPr>
          <w:rFonts w:hint="eastAsia" w:ascii="仿宋" w:hAnsi="仿宋" w:eastAsia="仿宋" w:cs="仿宋"/>
          <w:color w:val="auto"/>
          <w:sz w:val="44"/>
          <w:szCs w:val="44"/>
        </w:rPr>
      </w:pPr>
      <w:bookmarkStart w:id="18" w:name="_Toc10219"/>
      <w:r>
        <w:rPr>
          <w:rFonts w:hint="eastAsia" w:ascii="仿宋" w:hAnsi="仿宋" w:eastAsia="仿宋" w:cs="仿宋"/>
          <w:color w:val="auto"/>
          <w:sz w:val="44"/>
          <w:szCs w:val="44"/>
        </w:rPr>
        <w:t xml:space="preserve"> </w:t>
      </w:r>
      <w:bookmarkStart w:id="19" w:name="_Toc28678"/>
      <w:r>
        <w:rPr>
          <w:rFonts w:hint="eastAsia" w:ascii="仿宋" w:hAnsi="仿宋" w:eastAsia="仿宋" w:cs="仿宋"/>
          <w:color w:val="auto"/>
          <w:sz w:val="44"/>
          <w:szCs w:val="44"/>
        </w:rPr>
        <w:t>采购内容技术</w:t>
      </w:r>
      <w:bookmarkEnd w:id="18"/>
      <w:r>
        <w:rPr>
          <w:rFonts w:hint="eastAsia" w:ascii="仿宋" w:hAnsi="仿宋" w:eastAsia="仿宋" w:cs="仿宋"/>
          <w:color w:val="auto"/>
          <w:sz w:val="44"/>
          <w:szCs w:val="44"/>
        </w:rPr>
        <w:t>及商务要求</w:t>
      </w:r>
      <w:bookmarkEnd w:id="19"/>
    </w:p>
    <w:p>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一、 技术参数</w:t>
      </w:r>
    </w:p>
    <w:p>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1、投标人在投标前需到采购人（</w:t>
      </w:r>
      <w:r>
        <w:rPr>
          <w:rFonts w:hint="eastAsia" w:ascii="仿宋" w:hAnsi="仿宋" w:eastAsia="仿宋" w:cs="仿宋"/>
          <w:b w:val="0"/>
          <w:bCs w:val="0"/>
          <w:color w:val="auto"/>
          <w:sz w:val="28"/>
          <w:szCs w:val="28"/>
          <w:lang w:val="en-US" w:eastAsia="zh-CN"/>
        </w:rPr>
        <w:t>晴隆</w:t>
      </w:r>
      <w:r>
        <w:rPr>
          <w:rFonts w:hint="eastAsia" w:ascii="仿宋" w:hAnsi="仿宋" w:eastAsia="仿宋" w:cs="仿宋"/>
          <w:color w:val="auto"/>
          <w:sz w:val="28"/>
          <w:szCs w:val="28"/>
        </w:rPr>
        <w:t>县人民医院）查看</w:t>
      </w:r>
      <w:r>
        <w:rPr>
          <w:rFonts w:hint="eastAsia" w:ascii="仿宋" w:hAnsi="仿宋" w:eastAsia="仿宋" w:cs="仿宋"/>
          <w:color w:val="auto"/>
          <w:sz w:val="28"/>
          <w:szCs w:val="28"/>
          <w:lang w:eastAsia="zh-CN"/>
        </w:rPr>
        <w:t>对接医院对质量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2、投标人应注意投标的风险，认真阅读和理解</w:t>
      </w:r>
      <w:r>
        <w:rPr>
          <w:rFonts w:hint="eastAsia" w:ascii="仿宋" w:hAnsi="仿宋" w:eastAsia="仿宋" w:cs="仿宋"/>
          <w:color w:val="auto"/>
          <w:sz w:val="28"/>
          <w:szCs w:val="28"/>
          <w:lang w:eastAsia="zh-CN"/>
        </w:rPr>
        <w:t>院内议标</w:t>
      </w:r>
      <w:r>
        <w:rPr>
          <w:rFonts w:hint="eastAsia" w:ascii="仿宋" w:hAnsi="仿宋" w:eastAsia="仿宋" w:cs="仿宋"/>
          <w:color w:val="auto"/>
          <w:sz w:val="28"/>
          <w:szCs w:val="28"/>
        </w:rPr>
        <w:t>文件，选择符合或优于标书要求的产品参与投标。如所供产品存在技术偏离，投标人应如实填写技术规格偏离表，评标时评委员会根据本招标文件采购内容技术规格、商务要求等对投标人进行评审。评标时评委会掌握了确切事实说明投标人没有如实填写技术规格偏离表或有欺诈行为，该投标将被视为无效投标。若采购人验收时发现某一货物中存在虚假应标情况，应拒绝支付合同货款并不予退保证金，并追究相应的法律责任。</w:t>
      </w:r>
    </w:p>
    <w:p>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3、所有</w:t>
      </w:r>
      <w:r>
        <w:rPr>
          <w:rFonts w:hint="eastAsia" w:ascii="仿宋" w:hAnsi="仿宋" w:eastAsia="仿宋" w:cs="仿宋"/>
          <w:color w:val="auto"/>
          <w:sz w:val="28"/>
          <w:szCs w:val="28"/>
          <w:lang w:eastAsia="zh-CN"/>
        </w:rPr>
        <w:t>院内议标</w:t>
      </w:r>
      <w:r>
        <w:rPr>
          <w:rFonts w:hint="eastAsia" w:ascii="仿宋" w:hAnsi="仿宋" w:eastAsia="仿宋" w:cs="仿宋"/>
          <w:color w:val="auto"/>
          <w:sz w:val="28"/>
          <w:szCs w:val="28"/>
        </w:rPr>
        <w:t>产品的参数（质量、规格）以采购人（</w:t>
      </w:r>
      <w:r>
        <w:rPr>
          <w:rFonts w:hint="eastAsia" w:ascii="仿宋" w:hAnsi="仿宋" w:eastAsia="仿宋" w:cs="仿宋"/>
          <w:b w:val="0"/>
          <w:bCs w:val="0"/>
          <w:color w:val="auto"/>
          <w:sz w:val="28"/>
          <w:szCs w:val="28"/>
          <w:lang w:val="en-US" w:eastAsia="zh-CN"/>
        </w:rPr>
        <w:t>晴隆</w:t>
      </w:r>
      <w:r>
        <w:rPr>
          <w:rFonts w:hint="eastAsia" w:ascii="仿宋" w:hAnsi="仿宋" w:eastAsia="仿宋" w:cs="仿宋"/>
          <w:color w:val="auto"/>
          <w:sz w:val="28"/>
          <w:szCs w:val="28"/>
        </w:rPr>
        <w:t>县人民医院）</w:t>
      </w:r>
      <w:r>
        <w:rPr>
          <w:rFonts w:hint="eastAsia" w:ascii="仿宋" w:hAnsi="仿宋" w:eastAsia="仿宋" w:cs="仿宋"/>
          <w:color w:val="auto"/>
          <w:sz w:val="28"/>
          <w:szCs w:val="28"/>
          <w:lang w:eastAsia="zh-CN"/>
        </w:rPr>
        <w:t>质量</w:t>
      </w:r>
      <w:r>
        <w:rPr>
          <w:rFonts w:hint="eastAsia" w:ascii="仿宋" w:hAnsi="仿宋" w:eastAsia="仿宋" w:cs="仿宋"/>
          <w:color w:val="auto"/>
          <w:sz w:val="28"/>
          <w:szCs w:val="28"/>
          <w:lang w:val="en-US" w:eastAsia="zh-CN"/>
        </w:rPr>
        <w:t>要求为</w:t>
      </w:r>
      <w:r>
        <w:rPr>
          <w:rFonts w:hint="eastAsia" w:ascii="仿宋" w:hAnsi="仿宋" w:eastAsia="仿宋" w:cs="仿宋"/>
          <w:color w:val="auto"/>
          <w:sz w:val="28"/>
          <w:szCs w:val="28"/>
        </w:rPr>
        <w:t>准。</w:t>
      </w:r>
    </w:p>
    <w:p>
      <w:pPr>
        <w:spacing w:line="360" w:lineRule="auto"/>
        <w:ind w:firstLine="900" w:firstLineChars="300"/>
        <w:rPr>
          <w:rFonts w:hint="eastAsia" w:ascii="仿宋" w:hAnsi="仿宋" w:eastAsia="仿宋" w:cs="仿宋"/>
          <w:color w:val="auto"/>
          <w:sz w:val="30"/>
          <w:szCs w:val="30"/>
          <w:lang w:val="en-US" w:eastAsia="zh-CN"/>
        </w:rPr>
      </w:pPr>
    </w:p>
    <w:p>
      <w:pPr>
        <w:spacing w:line="360" w:lineRule="auto"/>
        <w:ind w:firstLine="904" w:firstLineChars="300"/>
        <w:rPr>
          <w:rFonts w:hint="eastAsia" w:ascii="宋体" w:hAnsi="宋体" w:eastAsia="宋体" w:cs="宋体"/>
          <w:b/>
          <w:szCs w:val="21"/>
        </w:rPr>
      </w:pPr>
      <w:r>
        <w:rPr>
          <w:rFonts w:hint="eastAsia" w:ascii="宋体" w:hAnsi="宋体" w:eastAsia="宋体" w:cs="宋体"/>
          <w:b/>
          <w:sz w:val="30"/>
          <w:szCs w:val="30"/>
        </w:rPr>
        <w:t>招标</w:t>
      </w:r>
      <w:r>
        <w:rPr>
          <w:rFonts w:hint="eastAsia" w:ascii="宋体" w:hAnsi="宋体" w:cs="宋体"/>
          <w:b/>
          <w:sz w:val="30"/>
          <w:szCs w:val="30"/>
          <w:lang w:val="en-US" w:eastAsia="zh-CN"/>
        </w:rPr>
        <w:t>项目</w:t>
      </w:r>
    </w:p>
    <w:p>
      <w:pPr>
        <w:spacing w:line="440" w:lineRule="exact"/>
        <w:ind w:firstLine="422" w:firstLineChars="200"/>
        <w:rPr>
          <w:rFonts w:hint="eastAsia" w:ascii="宋体" w:hAnsi="宋体" w:cs="宋体"/>
          <w:b/>
          <w:sz w:val="24"/>
          <w:lang w:val="en-US" w:eastAsia="zh-CN"/>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bookmarkStart w:id="20" w:name="_Toc509583977"/>
    </w:p>
    <w:tbl>
      <w:tblPr>
        <w:tblStyle w:val="11"/>
        <w:tblpPr w:leftFromText="180" w:rightFromText="180" w:vertAnchor="text" w:horzAnchor="page" w:tblpX="1792" w:tblpY="418"/>
        <w:tblOverlap w:val="never"/>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b/>
                <w:color w:val="000000"/>
                <w:sz w:val="22"/>
                <w:szCs w:val="22"/>
                <w:lang w:val="en-US" w:eastAsia="zh-CN"/>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ascii="Helvetica" w:hAnsi="Helvetica" w:eastAsia="Helvetica" w:cs="Helvetica"/>
                <w:b/>
                <w:bCs/>
                <w:i w:val="0"/>
                <w:iCs w:val="0"/>
                <w:caps w:val="0"/>
                <w:color w:val="262626"/>
                <w:spacing w:val="0"/>
                <w:sz w:val="19"/>
                <w:szCs w:val="19"/>
                <w:shd w:val="clear" w:fill="FFFFFF"/>
              </w:rPr>
              <w:t>柯尼卡美能达KONICA MINOLTA bizhub C7130i A3彩色数码复合机多功能(双面输稿器+双纸盒+工作台)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3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960000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院办、医务科</w:t>
            </w:r>
          </w:p>
        </w:tc>
      </w:tr>
      <w:tr>
        <w:tblPrEx>
          <w:tblCellMar>
            <w:top w:w="0" w:type="dxa"/>
            <w:left w:w="0" w:type="dxa"/>
            <w:bottom w:w="0" w:type="dxa"/>
            <w:right w:w="0" w:type="dxa"/>
          </w:tblCellMar>
        </w:tblPrEx>
        <w:trPr>
          <w:trHeight w:val="40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ascii="Helvetica" w:hAnsi="Helvetica" w:eastAsia="Helvetica" w:cs="Helvetica"/>
                <w:b/>
                <w:bCs/>
                <w:i w:val="0"/>
                <w:iCs w:val="0"/>
                <w:caps w:val="0"/>
                <w:color w:val="262626"/>
                <w:spacing w:val="0"/>
                <w:sz w:val="19"/>
                <w:szCs w:val="19"/>
                <w:shd w:val="clear" w:fill="FFFFFF"/>
              </w:rPr>
              <w:t>KONICA MINOLTA 柯尼卡美能达 bizhub c7222（标配双纸盒+主机+双面输稿器+原装工作台）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财务科</w:t>
            </w:r>
          </w:p>
        </w:tc>
      </w:tr>
    </w:tbl>
    <w:p>
      <w:pPr>
        <w:pStyle w:val="5"/>
        <w:rPr>
          <w:rFonts w:hint="eastAsia" w:ascii="宋体" w:hAnsi="宋体" w:cs="宋体"/>
          <w:b/>
          <w:sz w:val="30"/>
          <w:szCs w:val="30"/>
          <w:lang w:val="en-US" w:eastAsia="zh-CN"/>
        </w:rPr>
      </w:pPr>
    </w:p>
    <w:p>
      <w:pPr>
        <w:pStyle w:val="5"/>
        <w:ind w:firstLine="602" w:firstLineChars="200"/>
        <w:rPr>
          <w:rFonts w:hint="eastAsia" w:ascii="宋体" w:hAnsi="宋体" w:cs="宋体"/>
          <w:b/>
          <w:sz w:val="28"/>
          <w:szCs w:val="28"/>
          <w:lang w:val="en-US" w:eastAsia="zh-CN"/>
        </w:rPr>
      </w:pPr>
      <w:r>
        <w:rPr>
          <w:rFonts w:hint="eastAsia" w:ascii="宋体" w:hAnsi="宋体" w:cs="宋体"/>
          <w:b/>
          <w:sz w:val="30"/>
          <w:szCs w:val="30"/>
          <w:lang w:val="en-US" w:eastAsia="zh-CN"/>
        </w:rPr>
        <w:t>具体要求：</w:t>
      </w:r>
    </w:p>
    <w:p>
      <w:pPr>
        <w:pStyle w:val="5"/>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标项号</w:t>
      </w:r>
      <w:r>
        <w:rPr>
          <w:rFonts w:hint="eastAsia" w:ascii="仿宋" w:hAnsi="仿宋" w:eastAsia="仿宋" w:cs="仿宋"/>
          <w:b/>
          <w:sz w:val="28"/>
          <w:szCs w:val="28"/>
        </w:rPr>
        <w:t>1：</w:t>
      </w:r>
      <w:r>
        <w:rPr>
          <w:rFonts w:ascii="Helvetica" w:hAnsi="Helvetica" w:eastAsia="Helvetica" w:cs="Helvetica"/>
          <w:b/>
          <w:bCs/>
          <w:i w:val="0"/>
          <w:iCs w:val="0"/>
          <w:caps w:val="0"/>
          <w:color w:val="262626"/>
          <w:spacing w:val="0"/>
          <w:sz w:val="19"/>
          <w:szCs w:val="19"/>
          <w:shd w:val="clear" w:fill="FFFFFF"/>
        </w:rPr>
        <w:t>柯尼卡美能达KONICA MINOLTA bizhub C7130i A3彩色数码复合机多功能(双面输稿器+双纸盒+工作台)</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after="672" w:afterAutospacing="0"/>
        <w:ind w:left="0" w:firstLine="0"/>
        <w:jc w:val="left"/>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shd w:val="clear" w:fill="FFFFFF"/>
          <w:lang w:val="en-US" w:eastAsia="zh-CN" w:bidi="ar"/>
        </w:rPr>
        <w:t>柯尼卡美能达(KONICA MINOLTA) bizhub C7130i主机*1，输稿器*1，纸盒*2，工作台*1</w:t>
      </w:r>
    </w:p>
    <w:tbl>
      <w:tblPr>
        <w:tblStyle w:val="11"/>
        <w:tblW w:w="1752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1"/>
        <w:gridCol w:w="16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商品编号</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100018290112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20" w:type="dxa"/>
            <w:gridSpan w:val="2"/>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b/>
                <w:bCs/>
                <w:sz w:val="14"/>
                <w:szCs w:val="14"/>
              </w:rPr>
            </w:pPr>
            <w:r>
              <w:rPr>
                <w:rFonts w:ascii="宋体" w:hAnsi="宋体" w:eastAsia="宋体" w:cs="宋体"/>
                <w:b/>
                <w:bCs/>
                <w:kern w:val="0"/>
                <w:sz w:val="14"/>
                <w:szCs w:val="14"/>
                <w:vertAlign w:val="baseline"/>
                <w:lang w:val="en-US" w:eastAsia="zh-CN" w:bidi="ar"/>
              </w:rPr>
              <w:t>基本数据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品牌</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柯尼卡美能达（KonicaMinolta）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型号</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bizhub C7130i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复印类型</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一体复印机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认证型号</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bizhub C7130i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20" w:type="dxa"/>
            <w:gridSpan w:val="2"/>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b/>
                <w:bCs/>
                <w:sz w:val="14"/>
                <w:szCs w:val="14"/>
              </w:rPr>
            </w:pPr>
            <w:r>
              <w:rPr>
                <w:rFonts w:ascii="宋体" w:hAnsi="宋体" w:eastAsia="宋体" w:cs="宋体"/>
                <w:b/>
                <w:bCs/>
                <w:kern w:val="0"/>
                <w:sz w:val="14"/>
                <w:szCs w:val="14"/>
                <w:vertAlign w:val="baseline"/>
                <w:lang w:val="en-US" w:eastAsia="zh-CN" w:bidi="ar"/>
              </w:rPr>
              <w:t>打印功能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打印速度</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28页/分钟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打印语言</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PCL6,PS3仿真，XPS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分辨率</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1800（等效） x 600 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20" w:type="dxa"/>
            <w:gridSpan w:val="2"/>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b/>
                <w:bCs/>
                <w:sz w:val="14"/>
                <w:szCs w:val="14"/>
              </w:rPr>
            </w:pPr>
            <w:r>
              <w:rPr>
                <w:rFonts w:ascii="宋体" w:hAnsi="宋体" w:eastAsia="宋体" w:cs="宋体"/>
                <w:b/>
                <w:bCs/>
                <w:kern w:val="0"/>
                <w:sz w:val="14"/>
                <w:szCs w:val="14"/>
                <w:vertAlign w:val="baseline"/>
                <w:lang w:val="en-US" w:eastAsia="zh-CN" w:bidi="ar"/>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扫描速度</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单面(黑白/彩色)：100 ipm ; 双面(黑白/彩色)：200 ipm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20" w:type="dxa"/>
            <w:gridSpan w:val="2"/>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b/>
                <w:bCs/>
                <w:sz w:val="14"/>
                <w:szCs w:val="14"/>
              </w:rPr>
            </w:pPr>
            <w:r>
              <w:rPr>
                <w:rFonts w:ascii="宋体" w:hAnsi="宋体" w:eastAsia="宋体" w:cs="宋体"/>
                <w:b/>
                <w:bCs/>
                <w:kern w:val="0"/>
                <w:sz w:val="14"/>
                <w:szCs w:val="14"/>
                <w:vertAlign w:val="baseline"/>
                <w:lang w:val="en-US" w:eastAsia="zh-CN" w:bidi="ar"/>
              </w:rPr>
              <w:t>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扫描速度</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推扫描200dpi,300dpi,400dpi,600dpi；拉扫描100dpi,200dpi,300dpi,400dpi,600dpi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分辨率</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600x 600 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扫描文件格式</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TIFF, PDF, Compact PDF, JPEG, XPS, Compact XPS, pptx docx,xlsx Searchable PDF, PDF/A, Linearized PDF, Page setting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最大原稿尺寸</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最大A3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7520" w:type="dxa"/>
            <w:gridSpan w:val="2"/>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b/>
                <w:bCs/>
                <w:sz w:val="14"/>
                <w:szCs w:val="14"/>
              </w:rPr>
            </w:pPr>
            <w:r>
              <w:rPr>
                <w:rFonts w:ascii="宋体" w:hAnsi="宋体" w:eastAsia="宋体" w:cs="宋体"/>
                <w:b/>
                <w:bCs/>
                <w:kern w:val="0"/>
                <w:sz w:val="14"/>
                <w:szCs w:val="14"/>
                <w:vertAlign w:val="baseline"/>
                <w:lang w:val="en-US" w:eastAsia="zh-CN" w:bidi="ar"/>
              </w:rPr>
              <w:t>一般规格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复印速度</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30页/分钟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首页复印时间</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黑白：5秒或以下，彩色：6.7秒或以下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预热时间</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黑白：11秒或以下，彩色：13秒或以下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硬盘容量</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纸张尺寸</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A3至A5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纸张容量</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标准1150页；最大6650页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纸张重量</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52-256g/m2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产品尺寸</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615 x 688 x 779mm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连续复印张数（张）</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1-9999页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产品净重（kg）</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21"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最大功耗</w:t>
            </w:r>
          </w:p>
        </w:tc>
        <w:tc>
          <w:tcPr>
            <w:tcW w:w="16599" w:type="dxa"/>
            <w:tcBorders>
              <w:top w:val="single" w:color="DADADA" w:sz="4" w:space="0"/>
              <w:left w:val="single" w:color="DADADA" w:sz="4" w:space="0"/>
              <w:bottom w:val="single" w:color="DADADA" w:sz="4" w:space="0"/>
              <w:right w:val="single" w:color="DADADA" w:sz="4" w:space="0"/>
            </w:tcBorders>
            <w:shd w:val="clear" w:color="auto" w:fill="auto"/>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jc w:val="left"/>
              <w:textAlignment w:val="baseline"/>
              <w:rPr>
                <w:sz w:val="14"/>
                <w:szCs w:val="14"/>
              </w:rPr>
            </w:pPr>
            <w:r>
              <w:rPr>
                <w:rFonts w:ascii="宋体" w:hAnsi="宋体" w:eastAsia="宋体" w:cs="宋体"/>
                <w:kern w:val="0"/>
                <w:sz w:val="14"/>
                <w:szCs w:val="14"/>
                <w:vertAlign w:val="baseline"/>
                <w:lang w:val="en-US" w:eastAsia="zh-CN" w:bidi="ar"/>
              </w:rPr>
              <w:t>1.58KW</w:t>
            </w:r>
          </w:p>
        </w:tc>
      </w:tr>
    </w:tbl>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adjustRightInd w:val="0"/>
        <w:snapToGrid w:val="0"/>
        <w:spacing w:line="600" w:lineRule="exact"/>
        <w:ind w:right="240"/>
        <w:jc w:val="both"/>
        <w:rPr>
          <w:rFonts w:hint="eastAsia" w:ascii="楷体_GB2312" w:hAnsi="宋体" w:eastAsia="楷体_GB2312"/>
        </w:rPr>
      </w:pPr>
      <w:r>
        <w:rPr>
          <w:rFonts w:hint="eastAsia" w:ascii="仿宋" w:hAnsi="仿宋" w:eastAsia="仿宋" w:cs="仿宋"/>
          <w:b/>
          <w:sz w:val="28"/>
          <w:szCs w:val="28"/>
          <w:lang w:val="en-US" w:eastAsia="zh-CN"/>
        </w:rPr>
        <w:t>标项号2</w:t>
      </w:r>
      <w:r>
        <w:rPr>
          <w:rFonts w:hint="eastAsia" w:ascii="仿宋" w:hAnsi="仿宋" w:eastAsia="仿宋" w:cs="仿宋"/>
          <w:b/>
          <w:sz w:val="28"/>
          <w:szCs w:val="28"/>
        </w:rPr>
        <w:t>：</w:t>
      </w:r>
      <w:r>
        <w:rPr>
          <w:rFonts w:ascii="Helvetica" w:hAnsi="Helvetica" w:eastAsia="Helvetica" w:cs="Helvetica"/>
          <w:b/>
          <w:bCs/>
          <w:i w:val="0"/>
          <w:iCs w:val="0"/>
          <w:caps w:val="0"/>
          <w:color w:val="262626"/>
          <w:spacing w:val="0"/>
          <w:sz w:val="19"/>
          <w:szCs w:val="19"/>
          <w:shd w:val="clear" w:fill="FFFFFF"/>
        </w:rPr>
        <w:t>KONICA MINOLTA 柯尼卡美能达 bizhub c7222（标配双纸盒+主机+双面输稿器+原装工作台）</w:t>
      </w:r>
    </w:p>
    <w:p>
      <w:pPr>
        <w:adjustRightInd w:val="0"/>
        <w:snapToGrid w:val="0"/>
        <w:spacing w:line="360" w:lineRule="auto"/>
        <w:ind w:right="24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w:t>
      </w:r>
      <w:r>
        <w:rPr>
          <w:rFonts w:hint="eastAsia" w:ascii="仿宋" w:hAnsi="仿宋" w:eastAsia="仿宋" w:cs="仿宋"/>
          <w:sz w:val="24"/>
          <w:szCs w:val="24"/>
        </w:rPr>
        <w:t>技术</w:t>
      </w:r>
      <w:r>
        <w:rPr>
          <w:rFonts w:hint="eastAsia" w:ascii="仿宋" w:hAnsi="仿宋" w:eastAsia="仿宋" w:cs="仿宋"/>
          <w:sz w:val="24"/>
          <w:szCs w:val="24"/>
          <w:lang w:val="en-US" w:eastAsia="zh-CN"/>
        </w:rPr>
        <w:t>参数</w:t>
      </w:r>
    </w:p>
    <w:tbl>
      <w:tblPr>
        <w:tblStyle w:val="11"/>
        <w:tblW w:w="18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4"/>
        <w:gridCol w:w="17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商品编号</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100032893148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b/>
                <w:bCs/>
                <w:i w:val="0"/>
                <w:iCs w:val="0"/>
                <w:caps w:val="0"/>
                <w:color w:val="666666"/>
                <w:spacing w:val="0"/>
                <w:sz w:val="14"/>
                <w:szCs w:val="14"/>
              </w:rPr>
            </w:pPr>
            <w:r>
              <w:rPr>
                <w:rFonts w:hint="default" w:ascii="Helvetica" w:hAnsi="Helvetica" w:eastAsia="Helvetica" w:cs="Helvetica"/>
                <w:b/>
                <w:bCs/>
                <w:i w:val="0"/>
                <w:iCs w:val="0"/>
                <w:caps w:val="0"/>
                <w:color w:val="666666"/>
                <w:spacing w:val="0"/>
                <w:kern w:val="0"/>
                <w:sz w:val="14"/>
                <w:szCs w:val="14"/>
                <w:vertAlign w:val="baseli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型号</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bizhub c7222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认证型号</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bizhub c7222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b/>
                <w:bCs/>
                <w:i w:val="0"/>
                <w:iCs w:val="0"/>
                <w:caps w:val="0"/>
                <w:color w:val="666666"/>
                <w:spacing w:val="0"/>
                <w:sz w:val="14"/>
                <w:szCs w:val="14"/>
              </w:rPr>
            </w:pPr>
            <w:r>
              <w:rPr>
                <w:rFonts w:hint="default" w:ascii="Helvetica" w:hAnsi="Helvetica" w:eastAsia="Helvetica" w:cs="Helvetica"/>
                <w:b/>
                <w:bCs/>
                <w:i w:val="0"/>
                <w:iCs w:val="0"/>
                <w:caps w:val="0"/>
                <w:color w:val="666666"/>
                <w:spacing w:val="0"/>
                <w:kern w:val="0"/>
                <w:sz w:val="14"/>
                <w:szCs w:val="14"/>
                <w:vertAlign w:val="baseline"/>
                <w:lang w:val="en-US" w:eastAsia="zh-CN" w:bidi="ar"/>
              </w:rPr>
              <w:t>扩展功能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网络打印</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支持网络打印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无线打印</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支持无线打印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gridSpan w:val="2"/>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b/>
                <w:bCs/>
                <w:i w:val="0"/>
                <w:iCs w:val="0"/>
                <w:caps w:val="0"/>
                <w:color w:val="666666"/>
                <w:spacing w:val="0"/>
                <w:sz w:val="14"/>
                <w:szCs w:val="14"/>
              </w:rPr>
            </w:pPr>
            <w:r>
              <w:rPr>
                <w:rFonts w:hint="default" w:ascii="Helvetica" w:hAnsi="Helvetica" w:eastAsia="Helvetica" w:cs="Helvetica"/>
                <w:b/>
                <w:bCs/>
                <w:i w:val="0"/>
                <w:iCs w:val="0"/>
                <w:caps w:val="0"/>
                <w:color w:val="666666"/>
                <w:spacing w:val="0"/>
                <w:kern w:val="0"/>
                <w:sz w:val="14"/>
                <w:szCs w:val="14"/>
                <w:vertAlign w:val="baseline"/>
                <w:lang w:val="en-US" w:eastAsia="zh-CN" w:bidi="ar"/>
              </w:rPr>
              <w:t>打印功能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彩色模式最佳打印分辨率</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1200*1200dpi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黑白模式最佳打印分辨率</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1200*1200dpi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b/>
                <w:bCs/>
                <w:i w:val="0"/>
                <w:iCs w:val="0"/>
                <w:caps w:val="0"/>
                <w:color w:val="666666"/>
                <w:spacing w:val="0"/>
                <w:sz w:val="14"/>
                <w:szCs w:val="14"/>
              </w:rPr>
            </w:pPr>
            <w:r>
              <w:rPr>
                <w:rFonts w:hint="default" w:ascii="Helvetica" w:hAnsi="Helvetica" w:eastAsia="Helvetica" w:cs="Helvetica"/>
                <w:b/>
                <w:bCs/>
                <w:i w:val="0"/>
                <w:iCs w:val="0"/>
                <w:caps w:val="0"/>
                <w:color w:val="666666"/>
                <w:spacing w:val="0"/>
                <w:kern w:val="0"/>
                <w:sz w:val="14"/>
                <w:szCs w:val="14"/>
                <w:vertAlign w:val="baseline"/>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端口</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传真端口；WiFi端口；硬件集成接口(HIP端口)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支持纸张尺寸</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能效等级</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一级能效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b/>
                <w:bCs/>
                <w:i w:val="0"/>
                <w:iCs w:val="0"/>
                <w:caps w:val="0"/>
                <w:color w:val="666666"/>
                <w:spacing w:val="0"/>
                <w:sz w:val="14"/>
                <w:szCs w:val="14"/>
              </w:rPr>
            </w:pPr>
            <w:r>
              <w:rPr>
                <w:rFonts w:hint="default" w:ascii="Helvetica" w:hAnsi="Helvetica" w:eastAsia="Helvetica" w:cs="Helvetica"/>
                <w:b/>
                <w:bCs/>
                <w:i w:val="0"/>
                <w:iCs w:val="0"/>
                <w:caps w:val="0"/>
                <w:color w:val="666666"/>
                <w:spacing w:val="0"/>
                <w:kern w:val="0"/>
                <w:sz w:val="14"/>
                <w:szCs w:val="14"/>
                <w:vertAlign w:val="baseli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产品尺寸</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长785mm；宽660mm；高571mm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 w:type="dxa"/>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产品净重</w:t>
            </w:r>
          </w:p>
        </w:tc>
        <w:tc>
          <w:tcPr>
            <w:tcW w:w="0" w:type="auto"/>
            <w:tcBorders>
              <w:top w:val="single" w:color="DADADA" w:sz="4" w:space="0"/>
              <w:left w:val="single" w:color="DADADA" w:sz="4" w:space="0"/>
              <w:bottom w:val="single" w:color="DADADA" w:sz="4" w:space="0"/>
              <w:right w:val="single" w:color="DADADA" w:sz="4" w:space="0"/>
            </w:tcBorders>
            <w:shd w:val="clear" w:color="auto" w:fill="FFFFFF"/>
            <w:tcMar>
              <w:top w:w="96" w:type="dxa"/>
              <w:left w:w="96" w:type="dxa"/>
              <w:bottom w:w="96" w:type="dxa"/>
              <w:right w:w="96" w:type="dxa"/>
            </w:tcMar>
            <w:vAlign w:val="top"/>
          </w:tcPr>
          <w:p>
            <w:pPr>
              <w:keepNext w:val="0"/>
              <w:keepLines w:val="0"/>
              <w:widowControl/>
              <w:suppressLineNumbers w:val="0"/>
              <w:wordWrap w:val="0"/>
              <w:spacing w:before="0" w:beforeAutospacing="0" w:after="0" w:afterAutospacing="0" w:line="216" w:lineRule="atLeast"/>
              <w:ind w:left="0" w:right="0" w:firstLine="0"/>
              <w:jc w:val="left"/>
              <w:textAlignment w:val="baseline"/>
              <w:rPr>
                <w:rFonts w:hint="default" w:ascii="Helvetica" w:hAnsi="Helvetica" w:eastAsia="Helvetica" w:cs="Helvetica"/>
                <w:i w:val="0"/>
                <w:iCs w:val="0"/>
                <w:caps w:val="0"/>
                <w:color w:val="666666"/>
                <w:spacing w:val="0"/>
                <w:sz w:val="14"/>
                <w:szCs w:val="14"/>
              </w:rPr>
            </w:pPr>
            <w:r>
              <w:rPr>
                <w:rFonts w:hint="default" w:ascii="Helvetica" w:hAnsi="Helvetica" w:eastAsia="Helvetica" w:cs="Helvetica"/>
                <w:i w:val="0"/>
                <w:iCs w:val="0"/>
                <w:caps w:val="0"/>
                <w:color w:val="666666"/>
                <w:spacing w:val="0"/>
                <w:kern w:val="0"/>
                <w:sz w:val="14"/>
                <w:szCs w:val="14"/>
                <w:vertAlign w:val="baseline"/>
                <w:lang w:val="en-US" w:eastAsia="zh-CN" w:bidi="ar"/>
              </w:rPr>
              <w:t>65kg</w:t>
            </w:r>
          </w:p>
        </w:tc>
      </w:tr>
    </w:tbl>
    <w:p>
      <w:pPr>
        <w:adjustRightInd w:val="0"/>
        <w:snapToGrid w:val="0"/>
        <w:spacing w:line="360" w:lineRule="auto"/>
        <w:ind w:right="240"/>
        <w:jc w:val="both"/>
        <w:rPr>
          <w:rFonts w:hint="default" w:ascii="楷体_GB2312" w:eastAsia="楷体_GB2312"/>
          <w:lang w:val="en-US"/>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pStyle w:val="5"/>
        <w:rPr>
          <w:rFonts w:hint="eastAsia" w:ascii="宋体" w:hAnsi="宋体" w:cs="宋体"/>
          <w:b/>
          <w:sz w:val="24"/>
          <w:lang w:val="en-US" w:eastAsia="zh-CN"/>
        </w:rPr>
      </w:pPr>
    </w:p>
    <w:p>
      <w:pPr>
        <w:jc w:val="both"/>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2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5"/>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w:t>
      </w:r>
      <w:r>
        <w:rPr>
          <w:rFonts w:hint="eastAsia" w:ascii="宋体" w:hAnsi="宋体" w:cs="宋体"/>
          <w:szCs w:val="21"/>
          <w:lang w:val="en-US" w:eastAsia="zh-CN"/>
        </w:rPr>
        <w:t>5</w:t>
      </w:r>
      <w:r>
        <w:rPr>
          <w:rFonts w:hint="eastAsia" w:ascii="宋体" w:hAnsi="宋体" w:eastAsia="宋体" w:cs="宋体"/>
          <w:szCs w:val="21"/>
        </w:rPr>
        <w:t>）无重大违法记录声明函；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2</w:t>
      </w:r>
      <w:r>
        <w:rPr>
          <w:rFonts w:hint="eastAsia" w:ascii="宋体" w:hAnsi="宋体" w:eastAsia="宋体" w:cs="宋体"/>
          <w:szCs w:val="21"/>
        </w:rPr>
        <w:t>）特定资格条件要求提供的资格证明文件；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6"/>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6"/>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6"/>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6"/>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6"/>
        <w:numPr>
          <w:ilvl w:val="0"/>
          <w:numId w:val="4"/>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6"/>
        <w:spacing w:line="400" w:lineRule="exact"/>
        <w:ind w:firstLineChars="0"/>
        <w:rPr>
          <w:rFonts w:hint="eastAsia" w:ascii="宋体" w:hAnsi="宋体" w:cs="宋体"/>
          <w:b/>
          <w:sz w:val="21"/>
          <w:szCs w:val="21"/>
        </w:rPr>
      </w:pPr>
    </w:p>
    <w:p>
      <w:pPr>
        <w:pStyle w:val="6"/>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6"/>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6"/>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6"/>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6"/>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6"/>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6"/>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6"/>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6"/>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6"/>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6"/>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6"/>
        <w:numPr>
          <w:ilvl w:val="0"/>
          <w:numId w:val="3"/>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6"/>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6"/>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6"/>
        <w:spacing w:line="400" w:lineRule="exact"/>
        <w:ind w:firstLine="420"/>
        <w:rPr>
          <w:rFonts w:hint="eastAsia" w:ascii="宋体" w:hAnsi="宋体" w:cs="宋体"/>
          <w:sz w:val="21"/>
          <w:szCs w:val="21"/>
        </w:rPr>
      </w:pPr>
    </w:p>
    <w:p>
      <w:pPr>
        <w:pStyle w:val="6"/>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6"/>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5"/>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5"/>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投标价合计</w:t>
            </w:r>
          </w:p>
          <w:p>
            <w:pPr>
              <w:pStyle w:val="6"/>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保证金</w:t>
            </w:r>
          </w:p>
          <w:p>
            <w:pPr>
              <w:pStyle w:val="6"/>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p>
            <w:pPr>
              <w:pStyle w:val="6"/>
              <w:ind w:firstLine="420"/>
              <w:jc w:val="center"/>
              <w:rPr>
                <w:rFonts w:hint="eastAsia" w:ascii="宋体" w:hAnsi="宋体" w:cs="宋体"/>
                <w:sz w:val="21"/>
                <w:szCs w:val="21"/>
              </w:rPr>
            </w:pPr>
            <w:r>
              <w:rPr>
                <w:rFonts w:hint="eastAsia" w:ascii="宋体" w:hAnsi="宋体" w:cs="宋体"/>
                <w:sz w:val="21"/>
                <w:szCs w:val="21"/>
              </w:rPr>
              <w:t>投标声明</w:t>
            </w:r>
          </w:p>
          <w:p>
            <w:pPr>
              <w:pStyle w:val="6"/>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6"/>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6"/>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6"/>
        <w:ind w:firstLine="6465" w:firstLineChars="2300"/>
        <w:rPr>
          <w:rFonts w:hint="eastAsia" w:ascii="宋体" w:hAnsi="宋体" w:cs="宋体"/>
          <w:b/>
        </w:rPr>
      </w:pPr>
      <w:r>
        <w:rPr>
          <w:rFonts w:hint="eastAsia" w:ascii="宋体" w:hAnsi="宋体" w:cs="宋体"/>
          <w:b/>
        </w:rPr>
        <w:t>（3）、投标分项报价表</w:t>
      </w:r>
    </w:p>
    <w:p>
      <w:pPr>
        <w:pStyle w:val="6"/>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6"/>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6"/>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6"/>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p>
        </w:tc>
        <w:tc>
          <w:tcPr>
            <w:tcW w:w="1014" w:type="dxa"/>
            <w:noWrap w:val="0"/>
            <w:vAlign w:val="center"/>
          </w:tcPr>
          <w:p>
            <w:pPr>
              <w:pStyle w:val="6"/>
              <w:spacing w:line="400" w:lineRule="exact"/>
              <w:ind w:firstLine="420"/>
              <w:jc w:val="center"/>
              <w:rPr>
                <w:rFonts w:hint="eastAsia" w:ascii="宋体" w:hAnsi="宋体" w:cs="宋体"/>
                <w:sz w:val="21"/>
                <w:szCs w:val="21"/>
              </w:rPr>
            </w:pPr>
          </w:p>
        </w:tc>
        <w:tc>
          <w:tcPr>
            <w:tcW w:w="758" w:type="dxa"/>
            <w:noWrap w:val="0"/>
            <w:vAlign w:val="center"/>
          </w:tcPr>
          <w:p>
            <w:pPr>
              <w:pStyle w:val="6"/>
              <w:spacing w:line="400" w:lineRule="exact"/>
              <w:ind w:firstLine="420"/>
              <w:jc w:val="center"/>
              <w:rPr>
                <w:rFonts w:hint="eastAsia" w:ascii="宋体" w:hAnsi="宋体" w:cs="宋体"/>
                <w:sz w:val="21"/>
                <w:szCs w:val="21"/>
              </w:rPr>
            </w:pPr>
          </w:p>
        </w:tc>
        <w:tc>
          <w:tcPr>
            <w:tcW w:w="554" w:type="dxa"/>
            <w:noWrap w:val="0"/>
            <w:vAlign w:val="center"/>
          </w:tcPr>
          <w:p>
            <w:pPr>
              <w:pStyle w:val="6"/>
              <w:spacing w:line="400" w:lineRule="exact"/>
              <w:ind w:firstLine="420"/>
              <w:jc w:val="center"/>
              <w:rPr>
                <w:rFonts w:hint="eastAsia" w:ascii="宋体" w:hAnsi="宋体" w:cs="宋体"/>
                <w:sz w:val="21"/>
                <w:szCs w:val="21"/>
              </w:rPr>
            </w:pPr>
          </w:p>
        </w:tc>
        <w:tc>
          <w:tcPr>
            <w:tcW w:w="1218" w:type="dxa"/>
            <w:noWrap w:val="0"/>
            <w:vAlign w:val="center"/>
          </w:tcPr>
          <w:p>
            <w:pPr>
              <w:pStyle w:val="6"/>
              <w:spacing w:line="400" w:lineRule="exact"/>
              <w:ind w:firstLine="420"/>
              <w:jc w:val="center"/>
              <w:rPr>
                <w:rFonts w:hint="eastAsia" w:ascii="宋体" w:hAnsi="宋体" w:cs="宋体"/>
                <w:sz w:val="21"/>
                <w:szCs w:val="21"/>
              </w:rPr>
            </w:pPr>
          </w:p>
        </w:tc>
        <w:tc>
          <w:tcPr>
            <w:tcW w:w="977" w:type="dxa"/>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420"/>
              <w:jc w:val="center"/>
              <w:rPr>
                <w:rFonts w:hint="eastAsia" w:ascii="宋体" w:hAnsi="宋体" w:cs="宋体"/>
                <w:sz w:val="21"/>
                <w:szCs w:val="21"/>
              </w:rPr>
            </w:pPr>
          </w:p>
        </w:tc>
        <w:tc>
          <w:tcPr>
            <w:tcW w:w="840"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1260" w:type="dxa"/>
            <w:noWrap w:val="0"/>
            <w:vAlign w:val="center"/>
          </w:tcPr>
          <w:p>
            <w:pPr>
              <w:pStyle w:val="6"/>
              <w:spacing w:line="400" w:lineRule="exact"/>
              <w:ind w:firstLine="420"/>
              <w:jc w:val="center"/>
              <w:rPr>
                <w:rFonts w:hint="eastAsia" w:ascii="宋体" w:hAnsi="宋体" w:cs="宋体"/>
                <w:sz w:val="21"/>
                <w:szCs w:val="21"/>
              </w:rPr>
            </w:pPr>
          </w:p>
        </w:tc>
        <w:tc>
          <w:tcPr>
            <w:tcW w:w="1055" w:type="dxa"/>
            <w:noWrap w:val="0"/>
            <w:vAlign w:val="center"/>
          </w:tcPr>
          <w:p>
            <w:pPr>
              <w:pStyle w:val="6"/>
              <w:spacing w:line="400" w:lineRule="exact"/>
              <w:ind w:firstLine="420"/>
              <w:jc w:val="center"/>
              <w:rPr>
                <w:rFonts w:hint="eastAsia" w:ascii="宋体" w:hAnsi="宋体" w:cs="宋体"/>
                <w:sz w:val="21"/>
                <w:szCs w:val="21"/>
              </w:rPr>
            </w:pPr>
          </w:p>
        </w:tc>
        <w:tc>
          <w:tcPr>
            <w:tcW w:w="705" w:type="dxa"/>
            <w:noWrap w:val="0"/>
            <w:vAlign w:val="center"/>
          </w:tcPr>
          <w:p>
            <w:pPr>
              <w:pStyle w:val="6"/>
              <w:spacing w:line="400" w:lineRule="exact"/>
              <w:ind w:firstLine="420"/>
              <w:jc w:val="center"/>
              <w:rPr>
                <w:rFonts w:hint="eastAsia" w:ascii="宋体" w:hAnsi="宋体" w:cs="宋体"/>
                <w:sz w:val="21"/>
                <w:szCs w:val="21"/>
              </w:rPr>
            </w:pPr>
          </w:p>
        </w:tc>
        <w:tc>
          <w:tcPr>
            <w:tcW w:w="915" w:type="dxa"/>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p>
        </w:tc>
        <w:tc>
          <w:tcPr>
            <w:tcW w:w="1014" w:type="dxa"/>
            <w:noWrap w:val="0"/>
            <w:vAlign w:val="center"/>
          </w:tcPr>
          <w:p>
            <w:pPr>
              <w:pStyle w:val="6"/>
              <w:spacing w:line="400" w:lineRule="exact"/>
              <w:ind w:firstLine="420"/>
              <w:jc w:val="center"/>
              <w:rPr>
                <w:rFonts w:hint="eastAsia" w:ascii="宋体" w:hAnsi="宋体" w:cs="宋体"/>
                <w:sz w:val="21"/>
                <w:szCs w:val="21"/>
              </w:rPr>
            </w:pPr>
          </w:p>
        </w:tc>
        <w:tc>
          <w:tcPr>
            <w:tcW w:w="758" w:type="dxa"/>
            <w:noWrap w:val="0"/>
            <w:vAlign w:val="center"/>
          </w:tcPr>
          <w:p>
            <w:pPr>
              <w:pStyle w:val="6"/>
              <w:spacing w:line="400" w:lineRule="exact"/>
              <w:ind w:firstLine="420"/>
              <w:jc w:val="center"/>
              <w:rPr>
                <w:rFonts w:hint="eastAsia" w:ascii="宋体" w:hAnsi="宋体" w:cs="宋体"/>
                <w:sz w:val="21"/>
                <w:szCs w:val="21"/>
              </w:rPr>
            </w:pPr>
          </w:p>
        </w:tc>
        <w:tc>
          <w:tcPr>
            <w:tcW w:w="554" w:type="dxa"/>
            <w:noWrap w:val="0"/>
            <w:vAlign w:val="center"/>
          </w:tcPr>
          <w:p>
            <w:pPr>
              <w:pStyle w:val="6"/>
              <w:spacing w:line="400" w:lineRule="exact"/>
              <w:ind w:firstLine="420"/>
              <w:jc w:val="center"/>
              <w:rPr>
                <w:rFonts w:hint="eastAsia" w:ascii="宋体" w:hAnsi="宋体" w:cs="宋体"/>
                <w:sz w:val="21"/>
                <w:szCs w:val="21"/>
              </w:rPr>
            </w:pPr>
          </w:p>
        </w:tc>
        <w:tc>
          <w:tcPr>
            <w:tcW w:w="1218" w:type="dxa"/>
            <w:noWrap w:val="0"/>
            <w:vAlign w:val="center"/>
          </w:tcPr>
          <w:p>
            <w:pPr>
              <w:pStyle w:val="6"/>
              <w:spacing w:line="400" w:lineRule="exact"/>
              <w:ind w:firstLine="420"/>
              <w:jc w:val="center"/>
              <w:rPr>
                <w:rFonts w:hint="eastAsia" w:ascii="宋体" w:hAnsi="宋体" w:cs="宋体"/>
                <w:sz w:val="21"/>
                <w:szCs w:val="21"/>
              </w:rPr>
            </w:pPr>
          </w:p>
        </w:tc>
        <w:tc>
          <w:tcPr>
            <w:tcW w:w="977" w:type="dxa"/>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420"/>
              <w:jc w:val="center"/>
              <w:rPr>
                <w:rFonts w:hint="eastAsia" w:ascii="宋体" w:hAnsi="宋体" w:cs="宋体"/>
                <w:sz w:val="21"/>
                <w:szCs w:val="21"/>
              </w:rPr>
            </w:pPr>
          </w:p>
        </w:tc>
        <w:tc>
          <w:tcPr>
            <w:tcW w:w="840"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1260" w:type="dxa"/>
            <w:noWrap w:val="0"/>
            <w:vAlign w:val="center"/>
          </w:tcPr>
          <w:p>
            <w:pPr>
              <w:pStyle w:val="6"/>
              <w:spacing w:line="400" w:lineRule="exact"/>
              <w:ind w:firstLine="420"/>
              <w:jc w:val="center"/>
              <w:rPr>
                <w:rFonts w:hint="eastAsia" w:ascii="宋体" w:hAnsi="宋体" w:cs="宋体"/>
                <w:sz w:val="21"/>
                <w:szCs w:val="21"/>
              </w:rPr>
            </w:pPr>
          </w:p>
        </w:tc>
        <w:tc>
          <w:tcPr>
            <w:tcW w:w="1055" w:type="dxa"/>
            <w:noWrap w:val="0"/>
            <w:vAlign w:val="center"/>
          </w:tcPr>
          <w:p>
            <w:pPr>
              <w:pStyle w:val="6"/>
              <w:spacing w:line="400" w:lineRule="exact"/>
              <w:ind w:firstLine="420"/>
              <w:jc w:val="center"/>
              <w:rPr>
                <w:rFonts w:hint="eastAsia" w:ascii="宋体" w:hAnsi="宋体" w:cs="宋体"/>
                <w:sz w:val="21"/>
                <w:szCs w:val="21"/>
              </w:rPr>
            </w:pPr>
          </w:p>
        </w:tc>
        <w:tc>
          <w:tcPr>
            <w:tcW w:w="705" w:type="dxa"/>
            <w:noWrap w:val="0"/>
            <w:vAlign w:val="center"/>
          </w:tcPr>
          <w:p>
            <w:pPr>
              <w:pStyle w:val="6"/>
              <w:spacing w:line="400" w:lineRule="exact"/>
              <w:ind w:firstLine="420"/>
              <w:jc w:val="center"/>
              <w:rPr>
                <w:rFonts w:hint="eastAsia" w:ascii="宋体" w:hAnsi="宋体" w:cs="宋体"/>
                <w:sz w:val="21"/>
                <w:szCs w:val="21"/>
              </w:rPr>
            </w:pPr>
          </w:p>
        </w:tc>
        <w:tc>
          <w:tcPr>
            <w:tcW w:w="915" w:type="dxa"/>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p>
        </w:tc>
        <w:tc>
          <w:tcPr>
            <w:tcW w:w="1014" w:type="dxa"/>
            <w:noWrap w:val="0"/>
            <w:vAlign w:val="center"/>
          </w:tcPr>
          <w:p>
            <w:pPr>
              <w:pStyle w:val="6"/>
              <w:spacing w:line="400" w:lineRule="exact"/>
              <w:ind w:firstLine="420"/>
              <w:jc w:val="center"/>
              <w:rPr>
                <w:rFonts w:hint="eastAsia" w:ascii="宋体" w:hAnsi="宋体" w:cs="宋体"/>
                <w:sz w:val="21"/>
                <w:szCs w:val="21"/>
              </w:rPr>
            </w:pPr>
          </w:p>
        </w:tc>
        <w:tc>
          <w:tcPr>
            <w:tcW w:w="758" w:type="dxa"/>
            <w:noWrap w:val="0"/>
            <w:vAlign w:val="center"/>
          </w:tcPr>
          <w:p>
            <w:pPr>
              <w:pStyle w:val="6"/>
              <w:spacing w:line="400" w:lineRule="exact"/>
              <w:ind w:firstLine="420"/>
              <w:jc w:val="center"/>
              <w:rPr>
                <w:rFonts w:hint="eastAsia" w:ascii="宋体" w:hAnsi="宋体" w:cs="宋体"/>
                <w:sz w:val="21"/>
                <w:szCs w:val="21"/>
              </w:rPr>
            </w:pPr>
          </w:p>
        </w:tc>
        <w:tc>
          <w:tcPr>
            <w:tcW w:w="554" w:type="dxa"/>
            <w:noWrap w:val="0"/>
            <w:vAlign w:val="center"/>
          </w:tcPr>
          <w:p>
            <w:pPr>
              <w:pStyle w:val="6"/>
              <w:spacing w:line="400" w:lineRule="exact"/>
              <w:ind w:firstLine="420"/>
              <w:jc w:val="center"/>
              <w:rPr>
                <w:rFonts w:hint="eastAsia" w:ascii="宋体" w:hAnsi="宋体" w:cs="宋体"/>
                <w:sz w:val="21"/>
                <w:szCs w:val="21"/>
              </w:rPr>
            </w:pPr>
          </w:p>
        </w:tc>
        <w:tc>
          <w:tcPr>
            <w:tcW w:w="1218" w:type="dxa"/>
            <w:noWrap w:val="0"/>
            <w:vAlign w:val="center"/>
          </w:tcPr>
          <w:p>
            <w:pPr>
              <w:pStyle w:val="6"/>
              <w:spacing w:line="400" w:lineRule="exact"/>
              <w:ind w:firstLine="420"/>
              <w:jc w:val="center"/>
              <w:rPr>
                <w:rFonts w:hint="eastAsia" w:ascii="宋体" w:hAnsi="宋体" w:cs="宋体"/>
                <w:sz w:val="21"/>
                <w:szCs w:val="21"/>
              </w:rPr>
            </w:pPr>
          </w:p>
        </w:tc>
        <w:tc>
          <w:tcPr>
            <w:tcW w:w="977" w:type="dxa"/>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420"/>
              <w:jc w:val="center"/>
              <w:rPr>
                <w:rFonts w:hint="eastAsia" w:ascii="宋体" w:hAnsi="宋体" w:cs="宋体"/>
                <w:sz w:val="21"/>
                <w:szCs w:val="21"/>
              </w:rPr>
            </w:pPr>
          </w:p>
        </w:tc>
        <w:tc>
          <w:tcPr>
            <w:tcW w:w="840"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1260" w:type="dxa"/>
            <w:noWrap w:val="0"/>
            <w:vAlign w:val="center"/>
          </w:tcPr>
          <w:p>
            <w:pPr>
              <w:pStyle w:val="6"/>
              <w:spacing w:line="400" w:lineRule="exact"/>
              <w:ind w:firstLine="420"/>
              <w:jc w:val="center"/>
              <w:rPr>
                <w:rFonts w:hint="eastAsia" w:ascii="宋体" w:hAnsi="宋体" w:cs="宋体"/>
                <w:sz w:val="21"/>
                <w:szCs w:val="21"/>
              </w:rPr>
            </w:pPr>
          </w:p>
        </w:tc>
        <w:tc>
          <w:tcPr>
            <w:tcW w:w="1055" w:type="dxa"/>
            <w:noWrap w:val="0"/>
            <w:vAlign w:val="center"/>
          </w:tcPr>
          <w:p>
            <w:pPr>
              <w:pStyle w:val="6"/>
              <w:spacing w:line="400" w:lineRule="exact"/>
              <w:ind w:firstLine="420"/>
              <w:jc w:val="center"/>
              <w:rPr>
                <w:rFonts w:hint="eastAsia" w:ascii="宋体" w:hAnsi="宋体" w:cs="宋体"/>
                <w:sz w:val="21"/>
                <w:szCs w:val="21"/>
              </w:rPr>
            </w:pPr>
          </w:p>
        </w:tc>
        <w:tc>
          <w:tcPr>
            <w:tcW w:w="705" w:type="dxa"/>
            <w:noWrap w:val="0"/>
            <w:vAlign w:val="center"/>
          </w:tcPr>
          <w:p>
            <w:pPr>
              <w:pStyle w:val="6"/>
              <w:spacing w:line="400" w:lineRule="exact"/>
              <w:ind w:firstLine="420"/>
              <w:jc w:val="center"/>
              <w:rPr>
                <w:rFonts w:hint="eastAsia" w:ascii="宋体" w:hAnsi="宋体" w:cs="宋体"/>
                <w:sz w:val="21"/>
                <w:szCs w:val="21"/>
              </w:rPr>
            </w:pPr>
          </w:p>
        </w:tc>
        <w:tc>
          <w:tcPr>
            <w:tcW w:w="915" w:type="dxa"/>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p>
        </w:tc>
        <w:tc>
          <w:tcPr>
            <w:tcW w:w="1014" w:type="dxa"/>
            <w:noWrap w:val="0"/>
            <w:vAlign w:val="center"/>
          </w:tcPr>
          <w:p>
            <w:pPr>
              <w:pStyle w:val="6"/>
              <w:spacing w:line="400" w:lineRule="exact"/>
              <w:ind w:firstLine="420"/>
              <w:jc w:val="center"/>
              <w:rPr>
                <w:rFonts w:hint="eastAsia" w:ascii="宋体" w:hAnsi="宋体" w:cs="宋体"/>
                <w:sz w:val="21"/>
                <w:szCs w:val="21"/>
              </w:rPr>
            </w:pPr>
          </w:p>
        </w:tc>
        <w:tc>
          <w:tcPr>
            <w:tcW w:w="758" w:type="dxa"/>
            <w:noWrap w:val="0"/>
            <w:vAlign w:val="center"/>
          </w:tcPr>
          <w:p>
            <w:pPr>
              <w:pStyle w:val="6"/>
              <w:spacing w:line="400" w:lineRule="exact"/>
              <w:ind w:firstLine="420"/>
              <w:jc w:val="center"/>
              <w:rPr>
                <w:rFonts w:hint="eastAsia" w:ascii="宋体" w:hAnsi="宋体" w:cs="宋体"/>
                <w:sz w:val="21"/>
                <w:szCs w:val="21"/>
              </w:rPr>
            </w:pPr>
          </w:p>
        </w:tc>
        <w:tc>
          <w:tcPr>
            <w:tcW w:w="554" w:type="dxa"/>
            <w:noWrap w:val="0"/>
            <w:vAlign w:val="center"/>
          </w:tcPr>
          <w:p>
            <w:pPr>
              <w:pStyle w:val="6"/>
              <w:spacing w:line="400" w:lineRule="exact"/>
              <w:ind w:firstLine="420"/>
              <w:jc w:val="center"/>
              <w:rPr>
                <w:rFonts w:hint="eastAsia" w:ascii="宋体" w:hAnsi="宋体" w:cs="宋体"/>
                <w:sz w:val="21"/>
                <w:szCs w:val="21"/>
              </w:rPr>
            </w:pPr>
          </w:p>
        </w:tc>
        <w:tc>
          <w:tcPr>
            <w:tcW w:w="1218" w:type="dxa"/>
            <w:noWrap w:val="0"/>
            <w:vAlign w:val="center"/>
          </w:tcPr>
          <w:p>
            <w:pPr>
              <w:pStyle w:val="6"/>
              <w:spacing w:line="400" w:lineRule="exact"/>
              <w:ind w:firstLine="420"/>
              <w:jc w:val="center"/>
              <w:rPr>
                <w:rFonts w:hint="eastAsia" w:ascii="宋体" w:hAnsi="宋体" w:cs="宋体"/>
                <w:sz w:val="21"/>
                <w:szCs w:val="21"/>
              </w:rPr>
            </w:pPr>
          </w:p>
        </w:tc>
        <w:tc>
          <w:tcPr>
            <w:tcW w:w="977" w:type="dxa"/>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420"/>
              <w:jc w:val="center"/>
              <w:rPr>
                <w:rFonts w:hint="eastAsia" w:ascii="宋体" w:hAnsi="宋体" w:cs="宋体"/>
                <w:sz w:val="21"/>
                <w:szCs w:val="21"/>
              </w:rPr>
            </w:pPr>
          </w:p>
        </w:tc>
        <w:tc>
          <w:tcPr>
            <w:tcW w:w="840"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1260" w:type="dxa"/>
            <w:noWrap w:val="0"/>
            <w:vAlign w:val="center"/>
          </w:tcPr>
          <w:p>
            <w:pPr>
              <w:pStyle w:val="6"/>
              <w:spacing w:line="400" w:lineRule="exact"/>
              <w:ind w:firstLine="420"/>
              <w:jc w:val="center"/>
              <w:rPr>
                <w:rFonts w:hint="eastAsia" w:ascii="宋体" w:hAnsi="宋体" w:cs="宋体"/>
                <w:sz w:val="21"/>
                <w:szCs w:val="21"/>
              </w:rPr>
            </w:pPr>
          </w:p>
        </w:tc>
        <w:tc>
          <w:tcPr>
            <w:tcW w:w="1055" w:type="dxa"/>
            <w:noWrap w:val="0"/>
            <w:vAlign w:val="center"/>
          </w:tcPr>
          <w:p>
            <w:pPr>
              <w:pStyle w:val="6"/>
              <w:spacing w:line="400" w:lineRule="exact"/>
              <w:ind w:firstLine="420"/>
              <w:jc w:val="center"/>
              <w:rPr>
                <w:rFonts w:hint="eastAsia" w:ascii="宋体" w:hAnsi="宋体" w:cs="宋体"/>
                <w:sz w:val="21"/>
                <w:szCs w:val="21"/>
              </w:rPr>
            </w:pPr>
          </w:p>
        </w:tc>
        <w:tc>
          <w:tcPr>
            <w:tcW w:w="705" w:type="dxa"/>
            <w:noWrap w:val="0"/>
            <w:vAlign w:val="center"/>
          </w:tcPr>
          <w:p>
            <w:pPr>
              <w:pStyle w:val="6"/>
              <w:spacing w:line="400" w:lineRule="exact"/>
              <w:ind w:firstLine="420"/>
              <w:jc w:val="center"/>
              <w:rPr>
                <w:rFonts w:hint="eastAsia" w:ascii="宋体" w:hAnsi="宋体" w:cs="宋体"/>
                <w:sz w:val="21"/>
                <w:szCs w:val="21"/>
              </w:rPr>
            </w:pPr>
          </w:p>
        </w:tc>
        <w:tc>
          <w:tcPr>
            <w:tcW w:w="915" w:type="dxa"/>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jc w:val="center"/>
              <w:rPr>
                <w:rFonts w:hint="eastAsia" w:ascii="宋体" w:hAnsi="宋体" w:cs="宋体"/>
                <w:sz w:val="21"/>
                <w:szCs w:val="21"/>
              </w:rPr>
            </w:pPr>
          </w:p>
        </w:tc>
        <w:tc>
          <w:tcPr>
            <w:tcW w:w="1244" w:type="dxa"/>
            <w:noWrap w:val="0"/>
            <w:vAlign w:val="center"/>
          </w:tcPr>
          <w:p>
            <w:pPr>
              <w:pStyle w:val="6"/>
              <w:spacing w:line="400" w:lineRule="exact"/>
              <w:ind w:firstLine="420"/>
              <w:jc w:val="center"/>
              <w:rPr>
                <w:rFonts w:hint="eastAsia" w:ascii="宋体" w:hAnsi="宋体" w:cs="宋体"/>
                <w:sz w:val="21"/>
                <w:szCs w:val="21"/>
              </w:rPr>
            </w:pPr>
          </w:p>
        </w:tc>
        <w:tc>
          <w:tcPr>
            <w:tcW w:w="1014" w:type="dxa"/>
            <w:noWrap w:val="0"/>
            <w:vAlign w:val="center"/>
          </w:tcPr>
          <w:p>
            <w:pPr>
              <w:pStyle w:val="6"/>
              <w:spacing w:line="400" w:lineRule="exact"/>
              <w:ind w:firstLine="420"/>
              <w:jc w:val="center"/>
              <w:rPr>
                <w:rFonts w:hint="eastAsia" w:ascii="宋体" w:hAnsi="宋体" w:cs="宋体"/>
                <w:sz w:val="21"/>
                <w:szCs w:val="21"/>
              </w:rPr>
            </w:pPr>
          </w:p>
        </w:tc>
        <w:tc>
          <w:tcPr>
            <w:tcW w:w="758" w:type="dxa"/>
            <w:noWrap w:val="0"/>
            <w:vAlign w:val="center"/>
          </w:tcPr>
          <w:p>
            <w:pPr>
              <w:pStyle w:val="6"/>
              <w:spacing w:line="400" w:lineRule="exact"/>
              <w:ind w:firstLine="420"/>
              <w:jc w:val="center"/>
              <w:rPr>
                <w:rFonts w:hint="eastAsia" w:ascii="宋体" w:hAnsi="宋体" w:cs="宋体"/>
                <w:sz w:val="21"/>
                <w:szCs w:val="21"/>
              </w:rPr>
            </w:pPr>
          </w:p>
        </w:tc>
        <w:tc>
          <w:tcPr>
            <w:tcW w:w="554" w:type="dxa"/>
            <w:noWrap w:val="0"/>
            <w:vAlign w:val="center"/>
          </w:tcPr>
          <w:p>
            <w:pPr>
              <w:pStyle w:val="6"/>
              <w:spacing w:line="400" w:lineRule="exact"/>
              <w:ind w:firstLine="420"/>
              <w:jc w:val="center"/>
              <w:rPr>
                <w:rFonts w:hint="eastAsia" w:ascii="宋体" w:hAnsi="宋体" w:cs="宋体"/>
                <w:sz w:val="21"/>
                <w:szCs w:val="21"/>
              </w:rPr>
            </w:pPr>
          </w:p>
        </w:tc>
        <w:tc>
          <w:tcPr>
            <w:tcW w:w="1218" w:type="dxa"/>
            <w:noWrap w:val="0"/>
            <w:vAlign w:val="center"/>
          </w:tcPr>
          <w:p>
            <w:pPr>
              <w:pStyle w:val="6"/>
              <w:spacing w:line="400" w:lineRule="exact"/>
              <w:ind w:firstLine="420"/>
              <w:jc w:val="center"/>
              <w:rPr>
                <w:rFonts w:hint="eastAsia" w:ascii="宋体" w:hAnsi="宋体" w:cs="宋体"/>
                <w:sz w:val="21"/>
                <w:szCs w:val="21"/>
              </w:rPr>
            </w:pPr>
          </w:p>
        </w:tc>
        <w:tc>
          <w:tcPr>
            <w:tcW w:w="977" w:type="dxa"/>
            <w:noWrap w:val="0"/>
            <w:vAlign w:val="center"/>
          </w:tcPr>
          <w:p>
            <w:pPr>
              <w:pStyle w:val="6"/>
              <w:spacing w:line="400" w:lineRule="exact"/>
              <w:ind w:firstLine="420"/>
              <w:jc w:val="center"/>
              <w:rPr>
                <w:rFonts w:hint="eastAsia" w:ascii="宋体" w:hAnsi="宋体" w:cs="宋体"/>
                <w:sz w:val="21"/>
                <w:szCs w:val="21"/>
              </w:rPr>
            </w:pPr>
          </w:p>
        </w:tc>
        <w:tc>
          <w:tcPr>
            <w:tcW w:w="745" w:type="dxa"/>
            <w:noWrap w:val="0"/>
            <w:vAlign w:val="center"/>
          </w:tcPr>
          <w:p>
            <w:pPr>
              <w:pStyle w:val="6"/>
              <w:spacing w:line="400" w:lineRule="exact"/>
              <w:ind w:firstLine="420"/>
              <w:jc w:val="center"/>
              <w:rPr>
                <w:rFonts w:hint="eastAsia" w:ascii="宋体" w:hAnsi="宋体" w:cs="宋体"/>
                <w:sz w:val="21"/>
                <w:szCs w:val="21"/>
              </w:rPr>
            </w:pPr>
          </w:p>
        </w:tc>
        <w:tc>
          <w:tcPr>
            <w:tcW w:w="840"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945" w:type="dxa"/>
            <w:noWrap w:val="0"/>
            <w:vAlign w:val="center"/>
          </w:tcPr>
          <w:p>
            <w:pPr>
              <w:pStyle w:val="6"/>
              <w:spacing w:line="400" w:lineRule="exact"/>
              <w:ind w:firstLine="420"/>
              <w:jc w:val="center"/>
              <w:rPr>
                <w:rFonts w:hint="eastAsia" w:ascii="宋体" w:hAnsi="宋体" w:cs="宋体"/>
                <w:sz w:val="21"/>
                <w:szCs w:val="21"/>
              </w:rPr>
            </w:pPr>
          </w:p>
        </w:tc>
        <w:tc>
          <w:tcPr>
            <w:tcW w:w="1260" w:type="dxa"/>
            <w:noWrap w:val="0"/>
            <w:vAlign w:val="center"/>
          </w:tcPr>
          <w:p>
            <w:pPr>
              <w:pStyle w:val="6"/>
              <w:spacing w:line="400" w:lineRule="exact"/>
              <w:ind w:firstLine="420"/>
              <w:jc w:val="center"/>
              <w:rPr>
                <w:rFonts w:hint="eastAsia" w:ascii="宋体" w:hAnsi="宋体" w:cs="宋体"/>
                <w:sz w:val="21"/>
                <w:szCs w:val="21"/>
              </w:rPr>
            </w:pPr>
          </w:p>
        </w:tc>
        <w:tc>
          <w:tcPr>
            <w:tcW w:w="1055" w:type="dxa"/>
            <w:noWrap w:val="0"/>
            <w:vAlign w:val="center"/>
          </w:tcPr>
          <w:p>
            <w:pPr>
              <w:pStyle w:val="6"/>
              <w:spacing w:line="400" w:lineRule="exact"/>
              <w:ind w:firstLine="420"/>
              <w:jc w:val="center"/>
              <w:rPr>
                <w:rFonts w:hint="eastAsia" w:ascii="宋体" w:hAnsi="宋体" w:cs="宋体"/>
                <w:sz w:val="21"/>
                <w:szCs w:val="21"/>
              </w:rPr>
            </w:pPr>
          </w:p>
        </w:tc>
        <w:tc>
          <w:tcPr>
            <w:tcW w:w="705" w:type="dxa"/>
            <w:noWrap w:val="0"/>
            <w:vAlign w:val="center"/>
          </w:tcPr>
          <w:p>
            <w:pPr>
              <w:pStyle w:val="6"/>
              <w:spacing w:line="400" w:lineRule="exact"/>
              <w:ind w:firstLine="420"/>
              <w:jc w:val="center"/>
              <w:rPr>
                <w:rFonts w:hint="eastAsia" w:ascii="宋体" w:hAnsi="宋体" w:cs="宋体"/>
                <w:sz w:val="21"/>
                <w:szCs w:val="21"/>
              </w:rPr>
            </w:pPr>
          </w:p>
        </w:tc>
        <w:tc>
          <w:tcPr>
            <w:tcW w:w="915" w:type="dxa"/>
            <w:noWrap w:val="0"/>
            <w:vAlign w:val="center"/>
          </w:tcPr>
          <w:p>
            <w:pPr>
              <w:pStyle w:val="6"/>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6"/>
              <w:spacing w:line="400" w:lineRule="exact"/>
              <w:ind w:firstLine="420"/>
              <w:rPr>
                <w:rFonts w:hint="eastAsia" w:ascii="宋体" w:hAnsi="宋体" w:cs="宋体"/>
                <w:sz w:val="21"/>
                <w:szCs w:val="21"/>
              </w:rPr>
            </w:pPr>
          </w:p>
        </w:tc>
        <w:tc>
          <w:tcPr>
            <w:tcW w:w="1244" w:type="dxa"/>
            <w:noWrap w:val="0"/>
            <w:vAlign w:val="center"/>
          </w:tcPr>
          <w:p>
            <w:pPr>
              <w:pStyle w:val="6"/>
              <w:spacing w:line="400" w:lineRule="exact"/>
              <w:ind w:firstLine="420"/>
              <w:rPr>
                <w:rFonts w:hint="eastAsia" w:ascii="宋体" w:hAnsi="宋体" w:cs="宋体"/>
                <w:sz w:val="21"/>
                <w:szCs w:val="21"/>
              </w:rPr>
            </w:pPr>
          </w:p>
        </w:tc>
        <w:tc>
          <w:tcPr>
            <w:tcW w:w="1014" w:type="dxa"/>
            <w:noWrap w:val="0"/>
            <w:vAlign w:val="center"/>
          </w:tcPr>
          <w:p>
            <w:pPr>
              <w:pStyle w:val="6"/>
              <w:spacing w:line="400" w:lineRule="exact"/>
              <w:ind w:firstLine="420"/>
              <w:rPr>
                <w:rFonts w:hint="eastAsia" w:ascii="宋体" w:hAnsi="宋体" w:cs="宋体"/>
                <w:sz w:val="21"/>
                <w:szCs w:val="21"/>
              </w:rPr>
            </w:pPr>
          </w:p>
        </w:tc>
        <w:tc>
          <w:tcPr>
            <w:tcW w:w="758" w:type="dxa"/>
            <w:noWrap w:val="0"/>
            <w:vAlign w:val="center"/>
          </w:tcPr>
          <w:p>
            <w:pPr>
              <w:pStyle w:val="6"/>
              <w:spacing w:line="400" w:lineRule="exact"/>
              <w:ind w:firstLine="420"/>
              <w:rPr>
                <w:rFonts w:hint="eastAsia" w:ascii="宋体" w:hAnsi="宋体" w:cs="宋体"/>
                <w:sz w:val="21"/>
                <w:szCs w:val="21"/>
              </w:rPr>
            </w:pPr>
          </w:p>
        </w:tc>
        <w:tc>
          <w:tcPr>
            <w:tcW w:w="554" w:type="dxa"/>
            <w:noWrap w:val="0"/>
            <w:vAlign w:val="center"/>
          </w:tcPr>
          <w:p>
            <w:pPr>
              <w:pStyle w:val="6"/>
              <w:spacing w:line="400" w:lineRule="exact"/>
              <w:ind w:firstLine="420"/>
              <w:rPr>
                <w:rFonts w:hint="eastAsia" w:ascii="宋体" w:hAnsi="宋体" w:cs="宋体"/>
                <w:sz w:val="21"/>
                <w:szCs w:val="21"/>
              </w:rPr>
            </w:pPr>
          </w:p>
        </w:tc>
        <w:tc>
          <w:tcPr>
            <w:tcW w:w="1218" w:type="dxa"/>
            <w:noWrap w:val="0"/>
            <w:vAlign w:val="center"/>
          </w:tcPr>
          <w:p>
            <w:pPr>
              <w:pStyle w:val="6"/>
              <w:spacing w:line="400" w:lineRule="exact"/>
              <w:ind w:firstLine="420"/>
              <w:rPr>
                <w:rFonts w:hint="eastAsia" w:ascii="宋体" w:hAnsi="宋体" w:cs="宋体"/>
                <w:sz w:val="21"/>
                <w:szCs w:val="21"/>
              </w:rPr>
            </w:pPr>
          </w:p>
        </w:tc>
        <w:tc>
          <w:tcPr>
            <w:tcW w:w="977" w:type="dxa"/>
            <w:noWrap w:val="0"/>
            <w:vAlign w:val="center"/>
          </w:tcPr>
          <w:p>
            <w:pPr>
              <w:pStyle w:val="6"/>
              <w:spacing w:line="400" w:lineRule="exact"/>
              <w:ind w:firstLine="420"/>
              <w:rPr>
                <w:rFonts w:hint="eastAsia" w:ascii="宋体" w:hAnsi="宋体" w:cs="宋体"/>
                <w:sz w:val="21"/>
                <w:szCs w:val="21"/>
              </w:rPr>
            </w:pPr>
          </w:p>
        </w:tc>
        <w:tc>
          <w:tcPr>
            <w:tcW w:w="745" w:type="dxa"/>
            <w:noWrap w:val="0"/>
            <w:vAlign w:val="center"/>
          </w:tcPr>
          <w:p>
            <w:pPr>
              <w:pStyle w:val="6"/>
              <w:spacing w:line="400" w:lineRule="exact"/>
              <w:ind w:firstLine="420"/>
              <w:rPr>
                <w:rFonts w:hint="eastAsia" w:ascii="宋体" w:hAnsi="宋体" w:cs="宋体"/>
                <w:sz w:val="21"/>
                <w:szCs w:val="21"/>
              </w:rPr>
            </w:pPr>
          </w:p>
        </w:tc>
        <w:tc>
          <w:tcPr>
            <w:tcW w:w="840" w:type="dxa"/>
            <w:noWrap w:val="0"/>
            <w:vAlign w:val="center"/>
          </w:tcPr>
          <w:p>
            <w:pPr>
              <w:pStyle w:val="6"/>
              <w:spacing w:line="400" w:lineRule="exact"/>
              <w:ind w:firstLine="420"/>
              <w:rPr>
                <w:rFonts w:hint="eastAsia" w:ascii="宋体" w:hAnsi="宋体" w:cs="宋体"/>
                <w:sz w:val="21"/>
                <w:szCs w:val="21"/>
              </w:rPr>
            </w:pPr>
          </w:p>
        </w:tc>
        <w:tc>
          <w:tcPr>
            <w:tcW w:w="945" w:type="dxa"/>
            <w:noWrap w:val="0"/>
            <w:vAlign w:val="center"/>
          </w:tcPr>
          <w:p>
            <w:pPr>
              <w:pStyle w:val="6"/>
              <w:spacing w:line="400" w:lineRule="exact"/>
              <w:ind w:firstLine="420"/>
              <w:rPr>
                <w:rFonts w:hint="eastAsia" w:ascii="宋体" w:hAnsi="宋体" w:cs="宋体"/>
                <w:sz w:val="21"/>
                <w:szCs w:val="21"/>
              </w:rPr>
            </w:pPr>
          </w:p>
        </w:tc>
        <w:tc>
          <w:tcPr>
            <w:tcW w:w="945" w:type="dxa"/>
            <w:noWrap w:val="0"/>
            <w:vAlign w:val="center"/>
          </w:tcPr>
          <w:p>
            <w:pPr>
              <w:pStyle w:val="6"/>
              <w:spacing w:line="400" w:lineRule="exact"/>
              <w:ind w:firstLine="420"/>
              <w:rPr>
                <w:rFonts w:hint="eastAsia" w:ascii="宋体" w:hAnsi="宋体" w:cs="宋体"/>
                <w:sz w:val="21"/>
                <w:szCs w:val="21"/>
              </w:rPr>
            </w:pPr>
          </w:p>
        </w:tc>
        <w:tc>
          <w:tcPr>
            <w:tcW w:w="945" w:type="dxa"/>
            <w:noWrap w:val="0"/>
            <w:vAlign w:val="center"/>
          </w:tcPr>
          <w:p>
            <w:pPr>
              <w:pStyle w:val="6"/>
              <w:spacing w:line="400" w:lineRule="exact"/>
              <w:ind w:firstLine="420"/>
              <w:rPr>
                <w:rFonts w:hint="eastAsia" w:ascii="宋体" w:hAnsi="宋体" w:cs="宋体"/>
                <w:sz w:val="21"/>
                <w:szCs w:val="21"/>
              </w:rPr>
            </w:pPr>
          </w:p>
        </w:tc>
        <w:tc>
          <w:tcPr>
            <w:tcW w:w="1260" w:type="dxa"/>
            <w:noWrap w:val="0"/>
            <w:vAlign w:val="center"/>
          </w:tcPr>
          <w:p>
            <w:pPr>
              <w:pStyle w:val="6"/>
              <w:spacing w:line="400" w:lineRule="exact"/>
              <w:ind w:firstLine="420"/>
              <w:rPr>
                <w:rFonts w:hint="eastAsia" w:ascii="宋体" w:hAnsi="宋体" w:cs="宋体"/>
                <w:sz w:val="21"/>
                <w:szCs w:val="21"/>
              </w:rPr>
            </w:pPr>
          </w:p>
        </w:tc>
        <w:tc>
          <w:tcPr>
            <w:tcW w:w="1055" w:type="dxa"/>
            <w:noWrap w:val="0"/>
            <w:vAlign w:val="center"/>
          </w:tcPr>
          <w:p>
            <w:pPr>
              <w:pStyle w:val="6"/>
              <w:spacing w:line="400" w:lineRule="exact"/>
              <w:ind w:firstLine="420"/>
              <w:rPr>
                <w:rFonts w:hint="eastAsia" w:ascii="宋体" w:hAnsi="宋体" w:cs="宋体"/>
                <w:sz w:val="21"/>
                <w:szCs w:val="21"/>
              </w:rPr>
            </w:pPr>
          </w:p>
        </w:tc>
        <w:tc>
          <w:tcPr>
            <w:tcW w:w="705" w:type="dxa"/>
            <w:noWrap w:val="0"/>
            <w:vAlign w:val="center"/>
          </w:tcPr>
          <w:p>
            <w:pPr>
              <w:pStyle w:val="6"/>
              <w:spacing w:line="400" w:lineRule="exact"/>
              <w:ind w:firstLine="420"/>
              <w:rPr>
                <w:rFonts w:hint="eastAsia" w:ascii="宋体" w:hAnsi="宋体" w:cs="宋体"/>
                <w:sz w:val="21"/>
                <w:szCs w:val="21"/>
              </w:rPr>
            </w:pPr>
          </w:p>
        </w:tc>
        <w:tc>
          <w:tcPr>
            <w:tcW w:w="915" w:type="dxa"/>
            <w:noWrap w:val="0"/>
            <w:vAlign w:val="center"/>
          </w:tcPr>
          <w:p>
            <w:pPr>
              <w:pStyle w:val="6"/>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6"/>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6"/>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6"/>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6"/>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6"/>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6"/>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6"/>
        <w:ind w:firstLine="2249" w:firstLineChars="800"/>
        <w:rPr>
          <w:rFonts w:hint="eastAsia" w:ascii="宋体" w:hAnsi="宋体" w:cs="宋体"/>
          <w:b/>
        </w:rPr>
      </w:pPr>
      <w:r>
        <w:rPr>
          <w:rFonts w:hint="eastAsia" w:ascii="宋体" w:hAnsi="宋体" w:cs="宋体"/>
          <w:b/>
        </w:rPr>
        <w:t>（3.1）备品、备件清单及价目表</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6"/>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6"/>
        <w:spacing w:line="400" w:lineRule="exact"/>
        <w:ind w:left="420" w:leftChars="200" w:firstLine="0" w:firstLineChars="0"/>
        <w:rPr>
          <w:rFonts w:hint="eastAsia" w:ascii="宋体" w:hAnsi="宋体" w:cs="宋体"/>
          <w:sz w:val="21"/>
          <w:szCs w:val="21"/>
        </w:rPr>
      </w:pPr>
    </w:p>
    <w:p>
      <w:pPr>
        <w:pStyle w:val="6"/>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6"/>
        <w:spacing w:line="400" w:lineRule="exact"/>
        <w:ind w:left="420" w:leftChars="200" w:firstLine="0" w:firstLineChars="0"/>
        <w:rPr>
          <w:rFonts w:hint="eastAsia" w:ascii="宋体" w:hAnsi="宋体" w:cs="宋体"/>
          <w:sz w:val="21"/>
          <w:szCs w:val="21"/>
        </w:rPr>
      </w:pPr>
    </w:p>
    <w:p>
      <w:pPr>
        <w:pStyle w:val="6"/>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21" w:name="_Toc509583978"/>
      <w:bookmarkStart w:id="22" w:name="_Toc3260"/>
      <w:r>
        <w:rPr>
          <w:rFonts w:hint="eastAsia" w:ascii="宋体" w:hAnsi="宋体" w:eastAsia="宋体" w:cs="宋体"/>
          <w:b/>
          <w:szCs w:val="21"/>
        </w:rPr>
        <w:t>法定代表人身份证明</w:t>
      </w:r>
      <w:bookmarkEnd w:id="21"/>
      <w:bookmarkEnd w:id="2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6"/>
          <w:rFonts w:hint="eastAsia" w:ascii="宋体" w:hAnsi="宋体" w:cs="宋体"/>
          <w:sz w:val="21"/>
          <w:szCs w:val="21"/>
        </w:rPr>
      </w:pPr>
    </w:p>
    <w:p>
      <w:pPr>
        <w:spacing w:line="400" w:lineRule="exact"/>
        <w:ind w:firstLine="517" w:firstLineChars="250"/>
        <w:jc w:val="center"/>
        <w:rPr>
          <w:rStyle w:val="16"/>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1"/>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ind w:firstLine="1470" w:firstLineChars="700"/>
              <w:jc w:val="left"/>
              <w:rPr>
                <w:rStyle w:val="16"/>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tc>
      </w:tr>
    </w:tbl>
    <w:p>
      <w:pPr>
        <w:spacing w:line="400" w:lineRule="exact"/>
        <w:jc w:val="left"/>
        <w:rPr>
          <w:rStyle w:val="16"/>
          <w:rFonts w:hint="eastAsia" w:ascii="宋体" w:hAnsi="宋体" w:cs="宋体"/>
          <w:sz w:val="21"/>
          <w:szCs w:val="21"/>
        </w:rPr>
      </w:pPr>
    </w:p>
    <w:p>
      <w:pPr>
        <w:spacing w:line="360" w:lineRule="auto"/>
        <w:jc w:val="center"/>
        <w:rPr>
          <w:rStyle w:val="16"/>
          <w:rFonts w:hint="eastAsia" w:ascii="宋体" w:hAnsi="宋体" w:cs="宋体"/>
          <w:sz w:val="21"/>
          <w:szCs w:val="21"/>
        </w:rPr>
      </w:pPr>
    </w:p>
    <w:p>
      <w:pPr>
        <w:spacing w:line="400" w:lineRule="exact"/>
        <w:jc w:val="center"/>
        <w:rPr>
          <w:rFonts w:hint="eastAsia" w:ascii="宋体" w:hAnsi="宋体" w:eastAsia="宋体" w:cs="宋体"/>
          <w:b/>
          <w:sz w:val="28"/>
        </w:rPr>
      </w:pPr>
      <w:r>
        <w:rPr>
          <w:rStyle w:val="16"/>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default" w:ascii="宋体" w:hAnsi="宋体" w:eastAsia="宋体" w:cs="宋体"/>
          <w:spacing w:val="20"/>
          <w:szCs w:val="21"/>
          <w:lang w:val="en-US" w:eastAsia="zh-CN"/>
        </w:rPr>
      </w:pPr>
      <w:r>
        <w:rPr>
          <w:rFonts w:hint="eastAsia" w:ascii="宋体" w:hAnsi="宋体" w:cs="宋体"/>
          <w:spacing w:val="20"/>
          <w:szCs w:val="21"/>
          <w:lang w:val="en-US" w:eastAsia="zh-CN"/>
        </w:rPr>
        <w:t>2、院内议标或议价文件一般没有明确商务条款，商务条款以现场谈判签署的承诺书为准。</w:t>
      </w: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11"/>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10"/>
        <w:spacing w:before="0" w:beforeAutospacing="0" w:after="0" w:afterAutospacing="0" w:line="400" w:lineRule="exact"/>
        <w:ind w:right="159" w:firstLine="660"/>
        <w:jc w:val="both"/>
        <w:rPr>
          <w:rFonts w:hint="eastAsia" w:eastAsia="宋体"/>
          <w:bCs/>
          <w:sz w:val="21"/>
          <w:szCs w:val="21"/>
        </w:rPr>
      </w:pPr>
    </w:p>
    <w:p>
      <w:pPr>
        <w:pStyle w:val="10"/>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10"/>
        <w:spacing w:before="0" w:beforeAutospacing="0" w:after="0" w:afterAutospacing="0" w:line="400" w:lineRule="exact"/>
        <w:ind w:right="159" w:firstLine="660"/>
        <w:jc w:val="both"/>
        <w:rPr>
          <w:rFonts w:hint="eastAsia" w:eastAsia="宋体"/>
          <w:bCs/>
          <w:sz w:val="21"/>
          <w:szCs w:val="21"/>
        </w:rPr>
      </w:pPr>
    </w:p>
    <w:p>
      <w:pPr>
        <w:pStyle w:val="10"/>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10"/>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10"/>
        <w:spacing w:before="0" w:beforeAutospacing="0" w:after="0" w:afterAutospacing="0" w:line="640" w:lineRule="exact"/>
        <w:ind w:right="159" w:firstLine="660"/>
        <w:jc w:val="both"/>
        <w:rPr>
          <w:rFonts w:hint="eastAsia" w:eastAsia="宋体"/>
          <w:bCs/>
          <w:sz w:val="21"/>
          <w:szCs w:val="21"/>
        </w:rPr>
      </w:pPr>
    </w:p>
    <w:p>
      <w:pPr>
        <w:pStyle w:val="7"/>
        <w:adjustRightInd w:val="0"/>
        <w:snapToGrid w:val="0"/>
        <w:spacing w:line="640" w:lineRule="exact"/>
        <w:ind w:firstLine="2415" w:firstLineChars="1150"/>
        <w:rPr>
          <w:rFonts w:hint="eastAsia" w:hAnsi="宋体" w:cs="宋体"/>
        </w:rPr>
      </w:pPr>
      <w:r>
        <w:rPr>
          <w:rFonts w:hint="eastAsia" w:hAnsi="宋体" w:cs="宋体"/>
        </w:rPr>
        <w:t>供应商（盖章）：</w:t>
      </w:r>
    </w:p>
    <w:p>
      <w:pPr>
        <w:pStyle w:val="7"/>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7"/>
        <w:adjustRightInd w:val="0"/>
        <w:snapToGrid w:val="0"/>
        <w:spacing w:line="640" w:lineRule="exact"/>
        <w:ind w:firstLine="2415" w:firstLineChars="1150"/>
        <w:rPr>
          <w:rFonts w:hint="eastAsia" w:hAnsi="宋体" w:cs="宋体"/>
        </w:rPr>
      </w:pPr>
      <w:r>
        <w:rPr>
          <w:rFonts w:hint="eastAsia" w:hAnsi="宋体" w:cs="宋体"/>
        </w:rPr>
        <w:t>日  期：</w:t>
      </w: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10"/>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10"/>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7"/>
        <w:adjustRightInd w:val="0"/>
        <w:snapToGrid w:val="0"/>
        <w:spacing w:line="640" w:lineRule="exact"/>
        <w:ind w:firstLine="2415" w:firstLineChars="1150"/>
        <w:rPr>
          <w:rFonts w:hint="eastAsia" w:hAnsi="宋体" w:cs="宋体"/>
        </w:rPr>
      </w:pPr>
      <w:r>
        <w:rPr>
          <w:rFonts w:hint="eastAsia" w:hAnsi="宋体" w:cs="宋体"/>
        </w:rPr>
        <w:t>供应商（盖章）：</w:t>
      </w:r>
    </w:p>
    <w:p>
      <w:pPr>
        <w:pStyle w:val="7"/>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7"/>
        <w:adjustRightInd w:val="0"/>
        <w:snapToGrid w:val="0"/>
        <w:spacing w:line="640" w:lineRule="exact"/>
        <w:ind w:firstLine="2415" w:firstLineChars="1150"/>
        <w:rPr>
          <w:rFonts w:hint="eastAsia" w:hAnsi="宋体" w:cs="宋体"/>
        </w:rPr>
      </w:pPr>
      <w:r>
        <w:rPr>
          <w:rFonts w:hint="eastAsia" w:hAnsi="宋体" w:cs="宋体"/>
        </w:rPr>
        <w:t>日  期：</w:t>
      </w: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both"/>
        <w:rPr>
          <w:rFonts w:hint="eastAsia" w:ascii="宋体" w:hAnsi="宋体" w:eastAsia="宋体" w:cs="宋体"/>
          <w:b/>
          <w:sz w:val="24"/>
        </w:rPr>
      </w:pPr>
    </w:p>
    <w:p>
      <w:pPr>
        <w:spacing w:line="300" w:lineRule="auto"/>
        <w:ind w:firstLine="482"/>
        <w:jc w:val="both"/>
        <w:rPr>
          <w:rFonts w:hint="eastAsia" w:ascii="宋体" w:hAnsi="宋体" w:eastAsia="宋体" w:cs="宋体"/>
          <w:b/>
          <w:sz w:val="24"/>
        </w:rPr>
      </w:pPr>
    </w:p>
    <w:p>
      <w:pPr>
        <w:spacing w:line="300" w:lineRule="auto"/>
        <w:ind w:firstLine="482"/>
        <w:jc w:val="center"/>
        <w:rPr>
          <w:rFonts w:hint="eastAsia" w:ascii="宋体" w:hAnsi="宋体" w:eastAsia="宋体" w:cs="宋体"/>
          <w:b/>
          <w:i/>
          <w:iCs/>
          <w:sz w:val="24"/>
          <w:u w:val="single"/>
          <w:lang w:val="zh-CN"/>
        </w:rPr>
      </w:pPr>
      <w:r>
        <w:rPr>
          <w:rFonts w:hint="eastAsia" w:ascii="宋体" w:hAnsi="宋体" w:eastAsia="宋体" w:cs="宋体"/>
          <w:b/>
          <w:i/>
          <w:iCs/>
          <w:sz w:val="24"/>
          <w:u w:val="single"/>
        </w:rPr>
        <w:t>（17）</w:t>
      </w:r>
      <w:r>
        <w:rPr>
          <w:rFonts w:hint="eastAsia" w:ascii="宋体" w:hAnsi="宋体" w:eastAsia="宋体" w:cs="宋体"/>
          <w:b/>
          <w:i/>
          <w:iCs/>
          <w:sz w:val="24"/>
          <w:u w:val="single"/>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23" w:name="_Toc509583981"/>
      <w:r>
        <w:rPr>
          <w:rFonts w:hint="eastAsia" w:ascii="宋体" w:hAnsi="宋体" w:eastAsia="宋体" w:cs="宋体"/>
          <w:b/>
          <w:bCs/>
          <w:sz w:val="32"/>
          <w:szCs w:val="32"/>
        </w:rPr>
        <w:t>第四章  评标方法及标准</w:t>
      </w:r>
      <w:bookmarkEnd w:id="23"/>
    </w:p>
    <w:p>
      <w:pPr>
        <w:spacing w:line="400" w:lineRule="exact"/>
        <w:rPr>
          <w:rFonts w:hint="eastAsia" w:ascii="宋体" w:hAnsi="宋体" w:eastAsia="宋体" w:cs="宋体"/>
          <w:b/>
          <w:szCs w:val="21"/>
        </w:rPr>
      </w:pPr>
      <w:bookmarkStart w:id="24" w:name="_Toc227910725"/>
      <w:bookmarkStart w:id="25" w:name="_Toc275940537"/>
      <w:bookmarkStart w:id="26" w:name="_Toc249351260"/>
      <w:bookmarkStart w:id="27" w:name="_Toc219809819"/>
      <w:bookmarkStart w:id="28" w:name="_Toc259710349"/>
      <w:bookmarkStart w:id="29" w:name="_Toc509583982"/>
      <w:bookmarkStart w:id="30" w:name="_Toc208742891"/>
      <w:r>
        <w:rPr>
          <w:rFonts w:hint="eastAsia" w:ascii="宋体" w:hAnsi="宋体" w:eastAsia="宋体" w:cs="宋体"/>
          <w:b/>
          <w:szCs w:val="21"/>
        </w:rPr>
        <w:t>一、评标办法</w:t>
      </w: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1.1院内议标项目需二次谈判</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lang w:val="en-US" w:eastAsia="zh-CN"/>
        </w:rPr>
        <w:t>1.</w:t>
      </w:r>
      <w:bookmarkEnd w:id="24"/>
      <w:bookmarkEnd w:id="25"/>
      <w:bookmarkEnd w:id="26"/>
      <w:bookmarkEnd w:id="27"/>
      <w:bookmarkEnd w:id="28"/>
      <w:r>
        <w:rPr>
          <w:rFonts w:hint="eastAsia" w:ascii="仿宋" w:hAnsi="仿宋" w:eastAsia="仿宋" w:cs="仿宋"/>
          <w:b/>
          <w:bCs/>
          <w:color w:val="auto"/>
          <w:sz w:val="24"/>
          <w:szCs w:val="24"/>
          <w:shd w:val="clear" w:color="FFFFFF" w:fill="D9D9D9"/>
          <w:lang w:val="en-US" w:eastAsia="zh-CN"/>
        </w:rPr>
        <w:t>2</w:t>
      </w: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资格审查、现场谈判的形式进行，谈判过程中各投标供应商须提供所投产品的厂家授权或省级代理商授权</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现场报价、产品质量、服务承诺为依据、评定出名次，按排名先后选定1家作为本次采购目录的供应商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29"/>
      <w:bookmarkEnd w:id="3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p/>
    <w:p/>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sz w:val="16"/>
        <w:szCs w:val="16"/>
      </w:rPr>
    </w:pPr>
    <w:r>
      <w:rPr>
        <w:sz w:val="16"/>
        <w:szCs w:val="16"/>
      </w:rPr>
      <w:fldChar w:fldCharType="begin"/>
    </w:r>
    <w:r>
      <w:rPr>
        <w:rStyle w:val="14"/>
        <w:sz w:val="16"/>
        <w:szCs w:val="16"/>
      </w:rPr>
      <w:instrText xml:space="preserve">PAGE  </w:instrText>
    </w:r>
    <w:r>
      <w:rPr>
        <w:sz w:val="16"/>
        <w:szCs w:val="16"/>
      </w:rPr>
      <w:fldChar w:fldCharType="end"/>
    </w:r>
  </w:p>
  <w:p>
    <w:pPr>
      <w:pStyle w:val="8"/>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hint="eastAsia"/>
        <w:sz w:val="16"/>
        <w:szCs w:val="16"/>
      </w:rPr>
    </w:pPr>
    <w:r>
      <w:fldChar w:fldCharType="begin"/>
    </w:r>
    <w:r>
      <w:rPr>
        <w:rStyle w:val="14"/>
      </w:rPr>
      <w:instrText xml:space="preserve"> PAGE </w:instrText>
    </w:r>
    <w:r>
      <w:fldChar w:fldCharType="separate"/>
    </w:r>
    <w:r>
      <w:rPr>
        <w:rStyle w:val="14"/>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6119" w:y="1"/>
      <w:rPr>
        <w:rStyle w:val="14"/>
        <w:sz w:val="21"/>
        <w:szCs w:val="21"/>
      </w:rPr>
    </w:pPr>
    <w:r>
      <w:rPr>
        <w:rFonts w:hint="eastAsia" w:ascii="宋体" w:hAnsi="宋体" w:cs="宋体"/>
        <w:sz w:val="21"/>
        <w:szCs w:val="21"/>
      </w:rPr>
      <w:fldChar w:fldCharType="begin"/>
    </w:r>
    <w:r>
      <w:rPr>
        <w:rStyle w:val="14"/>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4"/>
        <w:rFonts w:ascii="宋体" w:hAnsi="宋体" w:cs="宋体"/>
        <w:sz w:val="21"/>
        <w:szCs w:val="21"/>
      </w:rPr>
      <w:t>20</w:t>
    </w:r>
    <w:r>
      <w:rPr>
        <w:rFonts w:hint="eastAsia" w:ascii="宋体" w:hAnsi="宋体" w:cs="宋体"/>
        <w:sz w:val="21"/>
        <w:szCs w:val="21"/>
      </w:rPr>
      <w:fldChar w:fldCharType="end"/>
    </w:r>
  </w:p>
  <w:p>
    <w:pPr>
      <w:pStyle w:val="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Fonts w:hint="eastAsia" w:ascii="宋体" w:hAnsi="宋体" w:cs="宋体"/>
      </w:rPr>
      <w:fldChar w:fldCharType="begin"/>
    </w:r>
    <w:r>
      <w:rPr>
        <w:rStyle w:val="14"/>
        <w:rFonts w:hint="eastAsia" w:ascii="宋体" w:hAnsi="宋体" w:cs="宋体"/>
        <w:sz w:val="18"/>
      </w:rPr>
      <w:instrText xml:space="preserve">PAGE  </w:instrText>
    </w:r>
    <w:r>
      <w:rPr>
        <w:rFonts w:hint="eastAsia" w:ascii="宋体" w:hAnsi="宋体" w:cs="宋体"/>
      </w:rPr>
      <w:fldChar w:fldCharType="separate"/>
    </w:r>
    <w:r>
      <w:rPr>
        <w:rStyle w:val="14"/>
        <w:rFonts w:ascii="宋体" w:hAnsi="宋体" w:cs="宋体"/>
        <w:sz w:val="18"/>
      </w:rPr>
      <w:t>47</w:t>
    </w:r>
    <w:r>
      <w:rPr>
        <w:rFonts w:hint="eastAsia" w:ascii="宋体" w:hAnsi="宋体" w:cs="宋体"/>
      </w:rPr>
      <w:fldChar w:fldCharType="end"/>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7"/>
    <w:multiLevelType w:val="singleLevel"/>
    <w:tmpl w:val="00000007"/>
    <w:lvl w:ilvl="0" w:tentative="0">
      <w:start w:val="3"/>
      <w:numFmt w:val="chineseCounting"/>
      <w:suff w:val="space"/>
      <w:lvlText w:val="第%1章"/>
      <w:lvlJc w:val="left"/>
    </w:lvl>
  </w:abstractNum>
  <w:abstractNum w:abstractNumId="2">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709A9"/>
    <w:rsid w:val="0DF709A9"/>
    <w:rsid w:val="18523902"/>
    <w:rsid w:val="1FD4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5">
    <w:name w:val="Body Text"/>
    <w:basedOn w:val="1"/>
    <w:qFormat/>
    <w:uiPriority w:val="0"/>
    <w:pPr>
      <w:spacing w:after="120"/>
    </w:pPr>
  </w:style>
  <w:style w:type="paragraph" w:styleId="6">
    <w:name w:val="Body Text Indent"/>
    <w:basedOn w:val="1"/>
    <w:qFormat/>
    <w:uiPriority w:val="0"/>
    <w:pPr>
      <w:spacing w:line="480" w:lineRule="exact"/>
      <w:ind w:firstLine="560" w:firstLineChars="200"/>
    </w:pPr>
    <w:rPr>
      <w:rFonts w:eastAsia="宋体"/>
      <w:sz w:val="28"/>
    </w:r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rFonts w:eastAsia="Times New Roman"/>
      <w:b/>
      <w:bCs/>
      <w:sz w:val="20"/>
      <w:szCs w:val="20"/>
    </w:rPr>
  </w:style>
  <w:style w:type="character" w:styleId="14">
    <w:name w:val="page number"/>
    <w:basedOn w:val="12"/>
    <w:qFormat/>
    <w:uiPriority w:val="0"/>
  </w:style>
  <w:style w:type="paragraph" w:customStyle="1" w:styleId="15">
    <w:name w:val="Body Text Indent"/>
    <w:basedOn w:val="1"/>
    <w:qFormat/>
    <w:uiPriority w:val="0"/>
    <w:pPr>
      <w:spacing w:after="120"/>
      <w:ind w:left="420" w:leftChars="200"/>
    </w:pPr>
  </w:style>
  <w:style w:type="character" w:customStyle="1" w:styleId="16">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11603</Words>
  <Characters>12348</Characters>
  <Lines>0</Lines>
  <Paragraphs>0</Paragraphs>
  <TotalTime>11</TotalTime>
  <ScaleCrop>false</ScaleCrop>
  <LinksUpToDate>false</LinksUpToDate>
  <CharactersWithSpaces>14121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2022-03-08T14:36:00Z</dcterms:created>
  <dc:creator>采购办</dc:creator>
  <cp:lastModifiedBy>牛应昆</cp:lastModifiedBy>
  <dcterms:modified xsi:type="dcterms:W3CDTF">2022-03-25T07:38:24Z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E5DF955BDBF04ED6AF17D5BF98756540</vt:lpwstr>
  </property>
</Properties>
</file>